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bookmarkStart w:id="0" w:name="ICS"/>
            <w:r>
              <w:rPr>
                <w:rFonts w:ascii="黑体" w:hAnsi="黑体" w:eastAsia="黑体"/>
                <w:sz w:val="21"/>
                <w:szCs w:val="21"/>
              </w:rPr>
              <w:fldChar w:fldCharType="begin">
                <w:ffData>
                  <w:name w:val="ICS"/>
                  <w:enabled/>
                  <w:calcOnExit w:val="0"/>
                  <w:textInput>
                    <w:default w:val="11.040.99"/>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11.040.99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ind w:left="420" w:right="624"/>
                    <w:rPr>
                      <w:rFonts w:ascii="宋体" w:hAnsi="宋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bookmarkStart w:id="1" w:name="CSDN"/>
            <w:r>
              <w:rPr>
                <w:rFonts w:ascii="黑体" w:hAnsi="黑体" w:eastAsia="黑体"/>
                <w:sz w:val="21"/>
                <w:szCs w:val="21"/>
              </w:rPr>
              <w:fldChar w:fldCharType="begin">
                <w:ffData>
                  <w:name w:val="CSDN"/>
                  <w:enabled/>
                  <w:calcOnExit w:val="0"/>
                  <w:textInput>
                    <w:default w:val="C30"/>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C30</w:t>
            </w:r>
            <w:r>
              <w:rPr>
                <w:rFonts w:ascii="黑体" w:hAnsi="黑体" w:eastAsia="黑体"/>
                <w:sz w:val="21"/>
                <w:szCs w:val="21"/>
              </w:rPr>
              <w:fldChar w:fldCharType="end"/>
            </w:r>
            <w:bookmarkEnd w:id="1"/>
          </w:p>
        </w:tc>
      </w:tr>
    </w:tbl>
    <w:p>
      <w:pPr>
        <w:pStyle w:val="53"/>
        <w:framePr w:w="9639" w:h="1089" w:hRule="exact" w:hSpace="181" w:vSpace="181" w:wrap="around" w:hAnchor="page" w:x="1305" w:y="1801"/>
        <w:rPr>
          <w:rFonts w:ascii="黑体" w:hAnsi="黑体" w:eastAsia="黑体"/>
          <w:b w:val="0"/>
          <w:bCs w:val="0"/>
          <w:w w:val="100"/>
          <w:sz w:val="72"/>
          <w:szCs w:val="48"/>
        </w:rPr>
      </w:pPr>
      <w:bookmarkStart w:id="2" w:name="_Hlk26473981"/>
      <w:r>
        <w:rPr>
          <w:rFonts w:hint="eastAsia" w:ascii="黑体" w:eastAsia="黑体"/>
          <w:b w:val="0"/>
          <w:w w:val="100"/>
          <w:sz w:val="72"/>
        </w:rPr>
        <w:t>团体</w:t>
      </w:r>
      <w:r>
        <w:rPr>
          <w:rFonts w:hint="eastAsia" w:ascii="黑体" w:hAnsi="黑体" w:eastAsia="黑体"/>
          <w:b w:val="0"/>
          <w:bCs w:val="0"/>
          <w:w w:val="100"/>
          <w:sz w:val="72"/>
          <w:szCs w:val="48"/>
        </w:rPr>
        <w:t>标准</w:t>
      </w:r>
    </w:p>
    <w:bookmarkEnd w:id="2"/>
    <w:p>
      <w:pPr>
        <w:pStyle w:val="198"/>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 xml:space="preserve">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 xml:space="preserve">FORMTEXT</w:instrText>
      </w:r>
      <w:r>
        <w:fldChar w:fldCharType="separate"/>
      </w:r>
      <w:r>
        <w:t>2022</w:t>
      </w:r>
      <w:r>
        <w:fldChar w:fldCharType="end"/>
      </w:r>
      <w:bookmarkEnd w:id="5"/>
    </w:p>
    <w:p>
      <w:pPr>
        <w:pStyle w:val="199"/>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bookmarkStart w:id="7" w:name="OLE_LINK1"/>
      <w:r>
        <w:rPr>
          <w:rFonts w:hint="eastAsia"/>
        </w:rPr>
        <w:t>继发性高血压人工智能辅助风险识别数据</w:t>
      </w:r>
      <w:r>
        <w:rPr>
          <w:rFonts w:hint="eastAsia"/>
          <w:lang w:val="en-US" w:eastAsia="zh-CN"/>
        </w:rPr>
        <w:t>采集</w:t>
      </w:r>
      <w:r>
        <w:rPr>
          <w:rFonts w:hint="eastAsia"/>
        </w:rPr>
        <w:t>标准</w:t>
      </w:r>
    </w:p>
    <w:bookmarkEnd w:id="7"/>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hint="eastAsia" w:eastAsia="黑体"/>
          <w:szCs w:val="28"/>
        </w:rPr>
        <w:t>Data collection standard for artificial intelligence-assisted risk identification of secondary hypertension</w:t>
      </w:r>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96"/>
        <w:framePr w:wrap="around" w:y="14176"/>
      </w:pPr>
      <w:bookmarkStart w:id="8" w:name="PLSH_DATE_Y"/>
      <w:r>
        <w:rPr>
          <w:rFonts w:ascii="黑体"/>
        </w:rPr>
        <w:fldChar w:fldCharType="begin">
          <w:ffData>
            <w:name w:val="PLSH_DATE_Y"/>
            <w:enabled/>
            <w:calcOnExit w:val="0"/>
            <w:textInput>
              <w:default w:val="2022"/>
              <w:maxLength w:val="4"/>
            </w:textInput>
          </w:ffData>
        </w:fldChar>
      </w:r>
      <w:r>
        <w:rPr>
          <w:rFonts w:ascii="黑体"/>
        </w:rPr>
        <w:instrText xml:space="preserve">FORMTEXT</w:instrText>
      </w:r>
      <w:r>
        <w:rPr>
          <w:rFonts w:ascii="黑体"/>
        </w:rPr>
        <w:fldChar w:fldCharType="separate"/>
      </w:r>
      <w:r>
        <w:rPr>
          <w:rFonts w:ascii="黑体"/>
        </w:rPr>
        <w:t>2022</w:t>
      </w:r>
      <w:r>
        <w:rPr>
          <w:rFonts w:ascii="黑体"/>
        </w:rPr>
        <w:fldChar w:fldCharType="end"/>
      </w:r>
      <w:bookmarkEnd w:id="8"/>
      <w:r>
        <w:t xml:space="preserve"> </w:t>
      </w:r>
      <w:r>
        <w:rPr>
          <w:rFonts w:ascii="黑体"/>
        </w:rPr>
        <w:t>-</w:t>
      </w:r>
      <w:r>
        <w:t xml:space="preserve"> </w:t>
      </w:r>
      <w:bookmarkStart w:id="9" w:name="PLSH_DATE_M"/>
      <w:r>
        <w:rPr>
          <w:rFonts w:ascii="黑体"/>
        </w:rPr>
        <w:fldChar w:fldCharType="begin">
          <w:ffData>
            <w:name w:val="PLSH_DATE_M"/>
            <w:enabled/>
            <w:calcOnExit w:val="0"/>
            <w:textInput>
              <w:default w:val="01"/>
              <w:maxLength w:val="2"/>
            </w:textInput>
          </w:ffData>
        </w:fldChar>
      </w:r>
      <w:r>
        <w:rPr>
          <w:rFonts w:ascii="黑体"/>
        </w:rPr>
        <w:instrText xml:space="preserve">FORMTEXT</w:instrText>
      </w:r>
      <w:r>
        <w:rPr>
          <w:rFonts w:ascii="黑体"/>
        </w:rPr>
        <w:fldChar w:fldCharType="separate"/>
      </w:r>
      <w:r>
        <w:rPr>
          <w:rFonts w:ascii="黑体"/>
        </w:rPr>
        <w:t>01</w:t>
      </w:r>
      <w:r>
        <w:rPr>
          <w:rFonts w:ascii="黑体"/>
        </w:rPr>
        <w:fldChar w:fldCharType="end"/>
      </w:r>
      <w:bookmarkEnd w:id="9"/>
      <w:r>
        <w:t xml:space="preserve"> </w:t>
      </w:r>
      <w:r>
        <w:rPr>
          <w:rFonts w:ascii="黑体"/>
        </w:rPr>
        <w:t>-</w:t>
      </w:r>
      <w:r>
        <w:t xml:space="preserve"> </w:t>
      </w:r>
      <w:bookmarkStart w:id="10" w:name="PLSH_DATE_D"/>
      <w:r>
        <w:rPr>
          <w:rFonts w:ascii="黑体"/>
        </w:rPr>
        <w:fldChar w:fldCharType="begin">
          <w:ffData>
            <w:name w:val="PLSH_DATE_D"/>
            <w:enabled/>
            <w:calcOnExit w:val="0"/>
            <w:textInput>
              <w:default w:val="15"/>
              <w:maxLength w:val="2"/>
            </w:textInput>
          </w:ffData>
        </w:fldChar>
      </w:r>
      <w:r>
        <w:rPr>
          <w:rFonts w:ascii="黑体"/>
        </w:rPr>
        <w:instrText xml:space="preserve">FORMTEXT</w:instrText>
      </w:r>
      <w:r>
        <w:rPr>
          <w:rFonts w:ascii="黑体"/>
        </w:rPr>
        <w:fldChar w:fldCharType="separate"/>
      </w:r>
      <w:r>
        <w:rPr>
          <w:rFonts w:ascii="黑体"/>
        </w:rPr>
        <w:t>15</w:t>
      </w:r>
      <w:r>
        <w:rPr>
          <w:rFonts w:ascii="黑体"/>
        </w:rPr>
        <w:fldChar w:fldCharType="end"/>
      </w:r>
      <w:bookmarkEnd w:id="10"/>
      <w:r>
        <w:rPr>
          <w:rFonts w:hint="eastAsia"/>
        </w:rPr>
        <w:t>发布</w:t>
      </w:r>
    </w:p>
    <w:p>
      <w:pPr>
        <w:pStyle w:val="197"/>
        <w:framePr w:wrap="around" w:y="14176"/>
      </w:pPr>
      <w:bookmarkStart w:id="11" w:name="CROT_DATE_Y"/>
      <w:r>
        <w:rPr>
          <w:rFonts w:ascii="黑体"/>
        </w:rPr>
        <w:fldChar w:fldCharType="begin">
          <w:ffData>
            <w:name w:val="CROT_DATE_Y"/>
            <w:enabled/>
            <w:calcOnExit w:val="0"/>
            <w:textInput>
              <w:default w:val="2022"/>
              <w:maxLength w:val="4"/>
            </w:textInput>
          </w:ffData>
        </w:fldChar>
      </w:r>
      <w:r>
        <w:rPr>
          <w:rFonts w:ascii="黑体"/>
        </w:rPr>
        <w:instrText xml:space="preserve">FORMTEXT</w:instrText>
      </w:r>
      <w:r>
        <w:rPr>
          <w:rFonts w:ascii="黑体"/>
        </w:rPr>
        <w:fldChar w:fldCharType="separate"/>
      </w:r>
      <w:r>
        <w:rPr>
          <w:rFonts w:ascii="黑体"/>
        </w:rPr>
        <w:t>2022</w:t>
      </w:r>
      <w:r>
        <w:rPr>
          <w:rFonts w:ascii="黑体"/>
        </w:rPr>
        <w:fldChar w:fldCharType="end"/>
      </w:r>
      <w:bookmarkEnd w:id="11"/>
      <w:r>
        <w:t xml:space="preserve"> </w:t>
      </w:r>
      <w:r>
        <w:rPr>
          <w:rFonts w:ascii="黑体"/>
        </w:rPr>
        <w:t>-</w:t>
      </w:r>
      <w:r>
        <w:t xml:space="preserve"> </w:t>
      </w:r>
      <w:bookmarkStart w:id="12" w:name="CROT_DATE_M"/>
      <w:r>
        <w:rPr>
          <w:rFonts w:ascii="黑体"/>
        </w:rPr>
        <w:fldChar w:fldCharType="begin">
          <w:ffData>
            <w:name w:val="CROT_DATE_M"/>
            <w:enabled/>
            <w:calcOnExit w:val="0"/>
            <w:textInput>
              <w:default w:val="03"/>
              <w:maxLength w:val="2"/>
            </w:textInput>
          </w:ffData>
        </w:fldChar>
      </w:r>
      <w:r>
        <w:rPr>
          <w:rFonts w:ascii="黑体"/>
        </w:rPr>
        <w:instrText xml:space="preserve">FORMTEXT</w:instrText>
      </w:r>
      <w:r>
        <w:rPr>
          <w:rFonts w:ascii="黑体"/>
        </w:rPr>
        <w:fldChar w:fldCharType="separate"/>
      </w:r>
      <w:r>
        <w:rPr>
          <w:rFonts w:ascii="黑体"/>
        </w:rPr>
        <w:t>03</w:t>
      </w:r>
      <w:r>
        <w:rPr>
          <w:rFonts w:ascii="黑体"/>
        </w:rPr>
        <w:fldChar w:fldCharType="end"/>
      </w:r>
      <w:bookmarkEnd w:id="12"/>
      <w:r>
        <w:t xml:space="preserve"> </w:t>
      </w:r>
      <w:r>
        <w:rPr>
          <w:rFonts w:ascii="黑体"/>
        </w:rPr>
        <w:t>-</w:t>
      </w:r>
      <w:r>
        <w:t xml:space="preserve"> </w:t>
      </w:r>
      <w:bookmarkStart w:id="13" w:name="CROT_DATE_D"/>
      <w:r>
        <w:rPr>
          <w:rFonts w:ascii="黑体"/>
        </w:rPr>
        <w:fldChar w:fldCharType="begin">
          <w:ffData>
            <w:name w:val="CROT_DATE_D"/>
            <w:enabled/>
            <w:calcOnExit w:val="0"/>
            <w:textInput>
              <w:default w:val="01"/>
              <w:maxLength w:val="2"/>
            </w:textInput>
          </w:ffData>
        </w:fldChar>
      </w:r>
      <w:r>
        <w:rPr>
          <w:rFonts w:ascii="黑体"/>
        </w:rPr>
        <w:instrText xml:space="preserve">FORMTEXT</w:instrText>
      </w:r>
      <w:r>
        <w:rPr>
          <w:rFonts w:ascii="黑体"/>
        </w:rPr>
        <w:fldChar w:fldCharType="separate"/>
      </w:r>
      <w:r>
        <w:rPr>
          <w:rFonts w:ascii="黑体"/>
        </w:rPr>
        <w:t>01</w:t>
      </w:r>
      <w:r>
        <w:rPr>
          <w:rFonts w:ascii="黑体"/>
        </w:rPr>
        <w:fldChar w:fldCharType="end"/>
      </w:r>
      <w:bookmarkEnd w:id="13"/>
      <w:r>
        <w:rPr>
          <w:rFonts w:hint="eastAsia"/>
        </w:rPr>
        <w:t>实施</w:t>
      </w:r>
    </w:p>
    <w:p>
      <w:pPr>
        <w:pStyle w:val="154"/>
        <w:framePr w:h="584" w:hRule="exact" w:hSpace="181" w:vSpace="181" w:wrap="around" w:y="14800"/>
        <w:rPr>
          <w:rFonts w:hAnsi="黑体"/>
        </w:rPr>
      </w:pPr>
      <w:bookmarkStart w:id="14" w:name="OLE_LINK3"/>
      <w:r>
        <w:rPr>
          <w:rFonts w:hAnsi="黑体"/>
          <w:w w:val="100"/>
          <w:sz w:val="28"/>
        </w:rPr>
        <w:fldChar w:fldCharType="begin">
          <w:ffData>
            <w:name w:val="fm"/>
            <w:enabled/>
            <w:calcOnExit w:val="0"/>
            <w:textInput>
              <w:default w:val="中国生物医学工程学会"/>
            </w:textInput>
          </w:ffData>
        </w:fldChar>
      </w:r>
      <w:bookmarkStart w:id="15" w:name="fm"/>
      <w:r>
        <w:rPr>
          <w:rFonts w:hAnsi="黑体"/>
          <w:w w:val="100"/>
          <w:sz w:val="28"/>
        </w:rPr>
        <w:instrText xml:space="preserve"> FORMTEXT </w:instrText>
      </w:r>
      <w:r>
        <w:rPr>
          <w:rFonts w:hAnsi="黑体"/>
          <w:w w:val="100"/>
          <w:sz w:val="28"/>
        </w:rPr>
        <w:fldChar w:fldCharType="separate"/>
      </w:r>
      <w:r>
        <w:rPr>
          <w:rFonts w:hint="eastAsia" w:hAnsi="黑体"/>
          <w:w w:val="100"/>
          <w:sz w:val="28"/>
          <w:lang w:eastAsia="zh-CN"/>
        </w:rPr>
        <w:t>四川省生物信息学学会</w:t>
      </w:r>
      <w:r>
        <w:rPr>
          <w:rFonts w:hAnsi="黑体"/>
          <w:w w:val="100"/>
          <w:sz w:val="28"/>
        </w:rPr>
        <w:fldChar w:fldCharType="end"/>
      </w:r>
      <w:bookmarkEnd w:id="14"/>
      <w:bookmarkEnd w:id="15"/>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360"/>
      </w:pPr>
      <w:bookmarkStart w:id="16" w:name="BookMark1"/>
      <w:bookmarkStart w:id="17" w:name="_Toc80192992"/>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4"/>
        </w:rPr>
      </w:pPr>
      <w:r>
        <w:fldChar w:fldCharType="begin"/>
      </w:r>
      <w:r>
        <w:instrText xml:space="preserve"> TOC \o "1-1" \h </w:instrText>
      </w:r>
      <w:r>
        <w:fldChar w:fldCharType="separate"/>
      </w:r>
      <w:r>
        <w:fldChar w:fldCharType="begin"/>
      </w:r>
      <w:r>
        <w:instrText xml:space="preserve"> HYPERLINK \l "_Toc93077075" </w:instrText>
      </w:r>
      <w:r>
        <w:fldChar w:fldCharType="separate"/>
      </w:r>
      <w:r>
        <w:rPr>
          <w:rStyle w:val="34"/>
          <w:spacing w:val="320"/>
        </w:rPr>
        <w:t>前</w:t>
      </w:r>
      <w:r>
        <w:rPr>
          <w:rStyle w:val="34"/>
        </w:rPr>
        <w:t>言</w:t>
      </w:r>
      <w:r>
        <w:tab/>
      </w:r>
      <w:r>
        <w:fldChar w:fldCharType="begin"/>
      </w:r>
      <w:r>
        <w:instrText xml:space="preserve"> PAGEREF _Toc93077075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"_Toc93077076" </w:instrText>
      </w:r>
      <w:r>
        <w:fldChar w:fldCharType="separate"/>
      </w:r>
      <w:r>
        <w:rPr>
          <w:rStyle w:val="34"/>
          <w:spacing w:val="320"/>
        </w:rPr>
        <w:t>引</w:t>
      </w:r>
      <w:r>
        <w:rPr>
          <w:rStyle w:val="34"/>
        </w:rPr>
        <w:t>言</w:t>
      </w:r>
      <w:r>
        <w:tab/>
      </w:r>
      <w:r>
        <w:fldChar w:fldCharType="begin"/>
      </w:r>
      <w:r>
        <w:instrText xml:space="preserve"> PAGEREF _Toc93077076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"_Toc93077077" </w:instrText>
      </w:r>
      <w:r>
        <w:fldChar w:fldCharType="separate"/>
      </w:r>
      <w:r>
        <w:rPr>
          <w:rStyle w:val="34"/>
        </w:rPr>
        <w:t>1 范围</w:t>
      </w:r>
      <w:r>
        <w:tab/>
      </w:r>
      <w:r>
        <w:fldChar w:fldCharType="begin"/>
      </w:r>
      <w:r>
        <w:instrText xml:space="preserve"> PAGEREF _Toc93077077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"_Toc93077078" </w:instrText>
      </w:r>
      <w:r>
        <w:fldChar w:fldCharType="separate"/>
      </w:r>
      <w:r>
        <w:rPr>
          <w:rStyle w:val="34"/>
        </w:rPr>
        <w:t>2 规范性引用文件</w:t>
      </w:r>
      <w:r>
        <w:tab/>
      </w:r>
      <w:r>
        <w:fldChar w:fldCharType="begin"/>
      </w:r>
      <w:r>
        <w:instrText xml:space="preserve"> PAGEREF _Toc93077078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"_Toc93077079" </w:instrText>
      </w:r>
      <w:r>
        <w:fldChar w:fldCharType="separate"/>
      </w:r>
      <w:r>
        <w:rPr>
          <w:rStyle w:val="34"/>
        </w:rPr>
        <w:t>3 术语和定义</w:t>
      </w:r>
      <w:r>
        <w:tab/>
      </w:r>
      <w:r>
        <w:fldChar w:fldCharType="begin"/>
      </w:r>
      <w:r>
        <w:instrText xml:space="preserve"> PAGEREF _Toc93077079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"_Toc93077080" </w:instrText>
      </w:r>
      <w:r>
        <w:fldChar w:fldCharType="separate"/>
      </w:r>
      <w:r>
        <w:rPr>
          <w:rStyle w:val="34"/>
        </w:rPr>
        <w:t>4 缩略语</w:t>
      </w:r>
      <w:r>
        <w:tab/>
      </w:r>
      <w:r>
        <w:fldChar w:fldCharType="begin"/>
      </w:r>
      <w:r>
        <w:instrText xml:space="preserve"> PAGEREF _Toc93077080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"_Toc93077084" </w:instrText>
      </w:r>
      <w:r>
        <w:fldChar w:fldCharType="separate"/>
      </w:r>
      <w:r>
        <w:rPr>
          <w:rFonts w:hint="eastAsia"/>
          <w:lang w:val="en-US" w:eastAsia="zh-CN"/>
        </w:rPr>
        <w:t>5</w:t>
      </w:r>
      <w:r>
        <w:rPr>
          <w:rStyle w:val="34"/>
        </w:rPr>
        <w:t xml:space="preserve"> </w:t>
      </w:r>
      <w:r>
        <w:rPr>
          <w:rStyle w:val="34"/>
          <w:rFonts w:hint="eastAsia"/>
          <w:lang w:val="en-US" w:eastAsia="zh-CN"/>
        </w:rPr>
        <w:t>数据集总要求</w:t>
      </w:r>
      <w:r>
        <w:tab/>
      </w:r>
      <w:r>
        <w:fldChar w:fldCharType="begin"/>
      </w:r>
      <w:r>
        <w:instrText xml:space="preserve"> PAGEREF _Toc93077084 \h </w:instrText>
      </w:r>
      <w:r>
        <w:fldChar w:fldCharType="separate"/>
      </w:r>
      <w:r>
        <w:t>4</w:t>
      </w:r>
      <w:r>
        <w:fldChar w:fldCharType="end"/>
      </w:r>
      <w:r>
        <w:fldChar w:fldCharType="end"/>
      </w:r>
    </w:p>
    <w:p>
      <w:pPr>
        <w:pStyle w:val="20"/>
        <w:tabs>
          <w:tab w:val="right" w:leader="dot" w:pos="9344"/>
        </w:tabs>
      </w:pPr>
      <w:r>
        <w:fldChar w:fldCharType="begin"/>
      </w:r>
      <w:r>
        <w:instrText xml:space="preserve"> HYPERLINK \l "_Toc93077084" </w:instrText>
      </w:r>
      <w:r>
        <w:fldChar w:fldCharType="separate"/>
      </w:r>
      <w:r>
        <w:rPr>
          <w:rFonts w:hint="eastAsia"/>
          <w:lang w:val="en-US" w:eastAsia="zh-CN"/>
        </w:rPr>
        <w:t>6</w:t>
      </w:r>
      <w:r>
        <w:rPr>
          <w:rStyle w:val="34"/>
        </w:rPr>
        <w:t xml:space="preserve"> </w:t>
      </w:r>
      <w:r>
        <w:rPr>
          <w:rStyle w:val="34"/>
          <w:rFonts w:hint="eastAsia"/>
          <w:lang w:val="en-US" w:eastAsia="zh-CN"/>
        </w:rPr>
        <w:t>数据采集</w:t>
      </w:r>
      <w:r>
        <w:tab/>
      </w:r>
      <w:r>
        <w:fldChar w:fldCharType="begin"/>
      </w:r>
      <w:r>
        <w:instrText xml:space="preserve"> PAGEREF _Toc93077084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"_Toc93077088" </w:instrText>
      </w:r>
      <w:r>
        <w:fldChar w:fldCharType="separate"/>
      </w:r>
      <w:r>
        <w:rPr>
          <w:rStyle w:val="34"/>
          <w:spacing w:val="105"/>
        </w:rPr>
        <w:t>参考文</w:t>
      </w:r>
      <w:r>
        <w:rPr>
          <w:rStyle w:val="34"/>
        </w:rPr>
        <w:t>献</w:t>
      </w:r>
      <w:r>
        <w:tab/>
      </w:r>
      <w:r>
        <w:fldChar w:fldCharType="begin"/>
      </w:r>
      <w:r>
        <w:instrText xml:space="preserve"> PAGEREF _Toc93077088 \h </w:instrText>
      </w:r>
      <w:r>
        <w:fldChar w:fldCharType="separate"/>
      </w:r>
      <w:r>
        <w:t>8</w:t>
      </w:r>
      <w:r>
        <w:fldChar w:fldCharType="end"/>
      </w:r>
      <w:r>
        <w:fldChar w:fldCharType="end"/>
      </w:r>
    </w:p>
    <w:p>
      <w:pPr>
        <w:pStyle w:val="94"/>
        <w:spacing w:after="360"/>
        <w:sectPr>
          <w:headerReference r:id="rId10" w:type="default"/>
          <w:footerReference r:id="rId12" w:type="default"/>
          <w:headerReference r:id="rId11"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16"/>
    <w:p>
      <w:pPr>
        <w:pStyle w:val="92"/>
        <w:spacing w:after="360"/>
      </w:pPr>
      <w:bookmarkStart w:id="18" w:name="_Toc93077075"/>
      <w:bookmarkStart w:id="19" w:name="BookMark2"/>
      <w:r>
        <w:rPr>
          <w:spacing w:val="320"/>
        </w:rPr>
        <w:t>前</w:t>
      </w:r>
      <w:r>
        <w:t>言</w:t>
      </w:r>
      <w:bookmarkEnd w:id="17"/>
      <w:bookmarkEnd w:id="18"/>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请注意本文件的某些内容可能涉及专利。本文件的发布机构不承担识别这些专利的责任。</w:t>
      </w:r>
    </w:p>
    <w:p>
      <w:pPr>
        <w:pStyle w:val="59"/>
        <w:ind w:firstLine="420"/>
      </w:pPr>
      <w:r>
        <w:rPr>
          <w:rFonts w:hint="eastAsia"/>
        </w:rPr>
        <w:t>本文件由</w:t>
      </w:r>
      <w:r>
        <w:rPr>
          <w:rFonts w:hint="eastAsia"/>
          <w:lang w:eastAsia="zh-CN"/>
        </w:rPr>
        <w:t>四川省生物信息学学会</w:t>
      </w:r>
      <w:r>
        <w:rPr>
          <w:rFonts w:hint="eastAsia"/>
        </w:rPr>
        <w:t>提出。</w:t>
      </w:r>
    </w:p>
    <w:p>
      <w:pPr>
        <w:pStyle w:val="59"/>
        <w:ind w:firstLine="420"/>
      </w:pPr>
      <w:r>
        <w:rPr>
          <w:rFonts w:hint="eastAsia"/>
        </w:rPr>
        <w:t>本文件由</w:t>
      </w:r>
      <w:r>
        <w:rPr>
          <w:rFonts w:hint="eastAsia"/>
          <w:lang w:eastAsia="zh-CN"/>
        </w:rPr>
        <w:t>四川省生物信息学学会</w:t>
      </w:r>
      <w:r>
        <w:rPr>
          <w:rFonts w:hint="eastAsia"/>
        </w:rPr>
        <w:t>知识</w:t>
      </w:r>
      <w:r>
        <w:t>产权与标准化</w:t>
      </w:r>
      <w:r>
        <w:rPr>
          <w:rFonts w:hint="eastAsia"/>
        </w:rPr>
        <w:t>工作委员会归口。</w:t>
      </w:r>
    </w:p>
    <w:p>
      <w:pPr>
        <w:pStyle w:val="59"/>
        <w:ind w:firstLine="420"/>
      </w:pPr>
      <w:r>
        <w:rPr>
          <w:rFonts w:hint="eastAsia"/>
        </w:rPr>
        <w:t>本文件起草单位：</w:t>
      </w:r>
      <w:r>
        <w:rPr>
          <w:rFonts w:hint="eastAsia"/>
          <w:lang w:val="en-US" w:eastAsia="zh-CN"/>
        </w:rPr>
        <w:t>四川大学华西医院</w:t>
      </w:r>
      <w:r>
        <w:rPr>
          <w:rFonts w:hint="eastAsia"/>
        </w:rPr>
        <w:t>。</w:t>
      </w:r>
    </w:p>
    <w:p>
      <w:pPr>
        <w:pStyle w:val="59"/>
        <w:ind w:firstLine="420"/>
      </w:pPr>
      <w:r>
        <w:rPr>
          <w:rFonts w:hint="eastAsia"/>
        </w:rPr>
        <w:t>本文件主要起草人：</w:t>
      </w:r>
      <w:r>
        <w:rPr>
          <w:rFonts w:hint="eastAsia"/>
          <w:lang w:val="en-US" w:eastAsia="zh-CN"/>
        </w:rPr>
        <w:t>曾锐、陈蕾、殷晋、李东泽、贾禹、李芳卉、李文韬、童瑶、公奥博</w:t>
      </w:r>
      <w:r>
        <w:rPr>
          <w:rFonts w:hint="eastAsia"/>
        </w:rPr>
        <w:t>。</w:t>
      </w:r>
    </w:p>
    <w:p>
      <w:pPr>
        <w:pStyle w:val="59"/>
        <w:ind w:firstLine="420"/>
      </w:pPr>
    </w:p>
    <w:p>
      <w:pPr>
        <w:pStyle w:val="59"/>
        <w:ind w:firstLine="420"/>
        <w:sectPr>
          <w:pgSz w:w="11906" w:h="16838"/>
          <w:pgMar w:top="2410" w:right="1134" w:bottom="1134" w:left="1134" w:header="1418" w:footer="1134" w:gutter="284"/>
          <w:pgNumType w:fmt="upperRoman"/>
          <w:cols w:space="425" w:num="1"/>
          <w:formProt w:val="0"/>
          <w:docGrid w:linePitch="312" w:charSpace="0"/>
        </w:sectPr>
      </w:pPr>
    </w:p>
    <w:bookmarkEnd w:id="19"/>
    <w:p>
      <w:pPr>
        <w:pStyle w:val="92"/>
        <w:spacing w:after="360"/>
      </w:pPr>
      <w:bookmarkStart w:id="20" w:name="_Toc93077076"/>
      <w:bookmarkStart w:id="21" w:name="_Toc80192993"/>
      <w:bookmarkStart w:id="22" w:name="BookMark3"/>
      <w:r>
        <w:rPr>
          <w:spacing w:val="320"/>
        </w:rPr>
        <w:t>引</w:t>
      </w:r>
      <w:r>
        <w:t>言</w:t>
      </w:r>
      <w:bookmarkEnd w:id="20"/>
      <w:bookmarkEnd w:id="21"/>
    </w:p>
    <w:p>
      <w:pPr>
        <w:pStyle w:val="59"/>
        <w:ind w:firstLine="420"/>
        <w:rPr>
          <w:rFonts w:hint="eastAsia"/>
        </w:rPr>
      </w:pPr>
      <w:r>
        <w:rPr>
          <w:rFonts w:hint="eastAsia"/>
        </w:rPr>
        <w:t>高血压是心血管病最为常见，也是临床常见的慢性非传染性疾病之一。高血压带来严重的疾病负担。其中，继发性高血压占高血压患者的5%-15%。继发性高血压除高血压本身对机体的影响外，与之伴随的内分泌紊乱、低钾血症、肾功能不全、低氧血症等还可导致独立于血压之外的心脑血管损害，因此早识别、早诊断、早治疗尤为重要，然而目前对继发性高血压的诊断存在一定的困难。本数据标准规范以《中国高血压健康管理规范（2019）》作为主要参考依据。继发性高血压主要包括肾实质性高血压、肾血管性高血压、库欣综合征、原发性醛固酮增多症、阻塞性睡眠呼吸暂停综合征、嗜铬细胞瘤等。</w:t>
      </w:r>
    </w:p>
    <w:p>
      <w:pPr>
        <w:pStyle w:val="59"/>
        <w:ind w:firstLine="420"/>
        <w:sectPr>
          <w:pgSz w:w="11906" w:h="16838"/>
          <w:pgMar w:top="2410" w:right="1134" w:bottom="1134" w:left="1134" w:header="1418" w:footer="1134" w:gutter="284"/>
          <w:pgNumType w:fmt="upperRoman"/>
          <w:cols w:space="425" w:num="1"/>
          <w:formProt w:val="0"/>
          <w:docGrid w:linePitch="312" w:charSpace="0"/>
        </w:sectPr>
      </w:pPr>
      <w:r>
        <w:rPr>
          <w:rFonts w:hint="eastAsia"/>
        </w:rPr>
        <w:t>本继发性高血压数据标准规范旨在形成共识性的继发性高血压领域数据集标准体系，为医疗数据的采集、标注和质控等提供一致性的行业标准，实现同质化的数据存储和使用，并以高质量的数据库支撑包括临床医学研究及人工智能医疗器械等研发及应用的需求。</w:t>
      </w: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9A8A6A7C7E044B769DF5DD033C66DD3E"/>
        </w:placeholder>
      </w:sdtPr>
      <w:sdtContent>
        <w:p>
          <w:pPr>
            <w:pStyle w:val="180"/>
            <w:spacing w:before="240" w:beforeLines="100" w:after="528" w:afterLines="220"/>
          </w:pPr>
          <w:bookmarkStart w:id="24" w:name="OLE_LINK2"/>
          <w:bookmarkStart w:id="25" w:name="NEW_STAND_NAME"/>
          <w:r>
            <w:rPr>
              <w:rFonts w:hint="eastAsia"/>
            </w:rPr>
            <w:t>继发性高血压人工智能辅助风险识别</w:t>
          </w:r>
          <w:bookmarkEnd w:id="24"/>
          <w:r>
            <w:rPr>
              <w:rFonts w:hint="eastAsia"/>
            </w:rPr>
            <w:t>数据</w:t>
          </w:r>
          <w:r>
            <w:rPr>
              <w:rFonts w:hint="eastAsia"/>
              <w:lang w:val="en-US" w:eastAsia="zh-CN"/>
            </w:rPr>
            <w:t>采集</w:t>
          </w:r>
          <w:r>
            <w:rPr>
              <w:rFonts w:hint="eastAsia"/>
            </w:rPr>
            <w:t>标准</w:t>
          </w:r>
        </w:p>
      </w:sdtContent>
    </w:sdt>
    <w:bookmarkEnd w:id="25"/>
    <w:p>
      <w:pPr>
        <w:pStyle w:val="107"/>
        <w:spacing w:before="240" w:after="240"/>
      </w:pPr>
      <w:bookmarkStart w:id="26" w:name="_Toc26648465"/>
      <w:bookmarkStart w:id="27" w:name="_Toc26718930"/>
      <w:bookmarkStart w:id="28" w:name="_Toc26986771"/>
      <w:bookmarkStart w:id="29" w:name="_Toc24884218"/>
      <w:bookmarkStart w:id="30" w:name="_Toc17233325"/>
      <w:bookmarkStart w:id="31" w:name="_Toc26986530"/>
      <w:bookmarkStart w:id="32" w:name="_Toc17233333"/>
      <w:bookmarkStart w:id="33" w:name="_Toc24884211"/>
      <w:bookmarkStart w:id="34" w:name="_Toc80192994"/>
      <w:bookmarkStart w:id="35" w:name="_Toc93077077"/>
      <w:r>
        <w:rPr>
          <w:rFonts w:hint="eastAsia"/>
        </w:rPr>
        <w:t>范围</w:t>
      </w:r>
      <w:bookmarkEnd w:id="26"/>
      <w:bookmarkEnd w:id="27"/>
      <w:bookmarkEnd w:id="28"/>
      <w:bookmarkEnd w:id="29"/>
      <w:bookmarkEnd w:id="30"/>
      <w:bookmarkEnd w:id="31"/>
      <w:bookmarkEnd w:id="32"/>
      <w:bookmarkEnd w:id="33"/>
      <w:bookmarkEnd w:id="34"/>
      <w:bookmarkEnd w:id="35"/>
    </w:p>
    <w:p>
      <w:pPr>
        <w:pStyle w:val="59"/>
        <w:ind w:firstLine="420"/>
      </w:pPr>
      <w:bookmarkStart w:id="36" w:name="_Toc26648466"/>
      <w:bookmarkStart w:id="37" w:name="_Toc24884219"/>
      <w:bookmarkStart w:id="38" w:name="_Toc17233326"/>
      <w:bookmarkStart w:id="39" w:name="_Toc24884212"/>
      <w:bookmarkStart w:id="40" w:name="_Toc17233334"/>
      <w:bookmarkStart w:id="41" w:name="_Toc26986531"/>
      <w:bookmarkStart w:id="42" w:name="_Toc80192995"/>
      <w:bookmarkStart w:id="43" w:name="_Toc26986772"/>
      <w:bookmarkStart w:id="44" w:name="_Toc26718931"/>
      <w:bookmarkStart w:id="45" w:name="_Toc93077078"/>
      <w:r>
        <w:rPr>
          <w:rFonts w:hint="eastAsia"/>
        </w:rPr>
        <w:t>本文件主要规定了继发性高血压人工智能辅助风险识别所使用的高血压数据集</w:t>
      </w:r>
      <w:r>
        <w:rPr>
          <w:rStyle w:val="35"/>
          <w:rFonts w:hint="eastAsia" w:ascii="Calibri" w:hAnsi="Calibri"/>
          <w:kern w:val="2"/>
          <w:lang w:eastAsia="zh-CN"/>
        </w:rPr>
        <w:t>（</w:t>
      </w:r>
      <w:r>
        <w:rPr>
          <w:rStyle w:val="35"/>
          <w:rFonts w:hint="eastAsia" w:ascii="Calibri" w:hAnsi="Calibri"/>
          <w:kern w:val="2"/>
          <w:lang w:val="en-US" w:eastAsia="zh-CN"/>
        </w:rPr>
        <w:t>包裹基本信息、体格检查、病史、实验室检查等数据</w:t>
      </w:r>
      <w:r>
        <w:rPr>
          <w:rStyle w:val="35"/>
          <w:rFonts w:hint="eastAsia" w:ascii="Calibri" w:hAnsi="Calibri"/>
          <w:kern w:val="2"/>
          <w:lang w:eastAsia="zh-CN"/>
        </w:rPr>
        <w:t>）</w:t>
      </w:r>
      <w:r>
        <w:rPr>
          <w:rFonts w:hint="eastAsia"/>
        </w:rPr>
        <w:t>在数据采集、数据整理、数据标注、数据集构建过程中所涉及的相关要求。</w:t>
      </w:r>
    </w:p>
    <w:p>
      <w:pPr>
        <w:pStyle w:val="59"/>
        <w:ind w:firstLine="420"/>
      </w:pPr>
      <w:r>
        <w:rPr>
          <w:rFonts w:hint="eastAsia"/>
        </w:rPr>
        <w:t>本文件适用于继发性高血压人工智能辅助风险识别的研发、生产、检测过程中的数据集建立及其评估</w:t>
      </w:r>
      <w:r>
        <w:rPr>
          <w:rFonts w:hint="eastAsia"/>
          <w:lang w:eastAsia="zh-CN"/>
        </w:rPr>
        <w:t>，</w:t>
      </w:r>
      <w:r>
        <w:rPr>
          <w:rFonts w:hint="eastAsia"/>
          <w:lang w:val="en-US" w:eastAsia="zh-CN"/>
        </w:rPr>
        <w:t>以及继发性高血压的初步筛查与风险评估</w:t>
      </w:r>
      <w:r>
        <w:rPr>
          <w:rFonts w:hint="eastAsia"/>
        </w:rPr>
        <w:t>。</w:t>
      </w:r>
    </w:p>
    <w:p>
      <w:pPr>
        <w:pStyle w:val="107"/>
        <w:spacing w:before="240" w:after="240"/>
      </w:pPr>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bookmarkStart w:id="46" w:name="_Toc93077079"/>
      <w:bookmarkStart w:id="47" w:name="_Toc80192996"/>
      <w:r>
        <w:t xml:space="preserve">YY/T 1833.1 </w:t>
      </w:r>
      <w:r>
        <w:rPr>
          <w:rFonts w:hint="eastAsia"/>
          <w:lang w:val="en-US" w:eastAsia="zh-CN"/>
        </w:rPr>
        <w:t>医学与医疗器械</w:t>
      </w:r>
      <w:r>
        <w:rPr>
          <w:rFonts w:hint="eastAsia"/>
        </w:rPr>
        <w:t xml:space="preserve"> 质量要求和评价 第 </w:t>
      </w:r>
      <w:r>
        <w:t xml:space="preserve">1 </w:t>
      </w:r>
      <w:r>
        <w:rPr>
          <w:rFonts w:hint="eastAsia"/>
        </w:rPr>
        <w:t>部分：术语</w:t>
      </w:r>
    </w:p>
    <w:p>
      <w:pPr>
        <w:pStyle w:val="59"/>
        <w:ind w:firstLine="420"/>
      </w:pPr>
      <w:r>
        <w:t>YY/T 1833.2</w:t>
      </w:r>
      <w:r>
        <w:rPr>
          <w:rFonts w:hint="eastAsia"/>
        </w:rPr>
        <w:t xml:space="preserve"> </w:t>
      </w:r>
      <w:r>
        <w:rPr>
          <w:rFonts w:hint="eastAsia"/>
          <w:lang w:val="en-US" w:eastAsia="zh-CN"/>
        </w:rPr>
        <w:t>医学与</w:t>
      </w:r>
      <w:r>
        <w:rPr>
          <w:rFonts w:hint="eastAsia"/>
        </w:rPr>
        <w:t>医疗器械 质量要求和评价 第 2 部分：数据集通用要求</w:t>
      </w:r>
    </w:p>
    <w:p>
      <w:pPr>
        <w:pStyle w:val="107"/>
        <w:spacing w:before="240" w:after="240"/>
      </w:pPr>
      <w:r>
        <w:rPr>
          <w:rFonts w:hint="eastAsia"/>
          <w:szCs w:val="21"/>
        </w:rPr>
        <w:t>术语和定义</w:t>
      </w:r>
      <w:bookmarkEnd w:id="46"/>
      <w:bookmarkEnd w:id="47"/>
    </w:p>
    <w:sdt>
      <w:sdtPr>
        <w:id w:val="-1909835108"/>
        <w:placeholder>
          <w:docPart w:val="32394A53A28749C59EADAC5A1C4EE9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8" w:name="_Toc26986532"/>
          <w:bookmarkEnd w:id="48"/>
          <w:r>
            <w:t>下列术语和定义适用于本文件。</w:t>
          </w:r>
        </w:p>
      </w:sdtContent>
    </w:sdt>
    <w:p>
      <w:pPr>
        <w:pStyle w:val="182"/>
      </w:pPr>
    </w:p>
    <w:p>
      <w:pPr>
        <w:pStyle w:val="59"/>
        <w:rPr>
          <w:rFonts w:hint="eastAsia" w:eastAsia="宋体"/>
          <w:lang w:val="en-US" w:eastAsia="zh-CN"/>
        </w:rPr>
      </w:pPr>
      <w:r>
        <w:rPr>
          <w:rFonts w:hint="eastAsia"/>
          <w:lang w:val="en-US" w:eastAsia="zh-CN"/>
        </w:rPr>
        <w:t>术语</w:t>
      </w:r>
    </w:p>
    <w:p>
      <w:pPr>
        <w:pStyle w:val="59"/>
        <w:rPr>
          <w:rFonts w:hint="eastAsia"/>
        </w:rPr>
      </w:pPr>
      <w:r>
        <w:rPr>
          <w:rFonts w:hint="eastAsia"/>
          <w:lang w:eastAsia="zh-CN"/>
        </w:rPr>
        <w:t>（</w:t>
      </w:r>
      <w:r>
        <w:rPr>
          <w:rFonts w:hint="eastAsia"/>
          <w:lang w:val="en-US" w:eastAsia="zh-CN"/>
        </w:rPr>
        <w:t>1</w:t>
      </w:r>
      <w:r>
        <w:rPr>
          <w:rFonts w:hint="eastAsia"/>
          <w:lang w:eastAsia="zh-CN"/>
        </w:rPr>
        <w:t>）</w:t>
      </w:r>
      <w:r>
        <w:rPr>
          <w:rFonts w:hint="eastAsia"/>
        </w:rPr>
        <w:t>人工智能医疗器械 artificial intelligency medical device; AIMD</w:t>
      </w:r>
    </w:p>
    <w:p>
      <w:pPr>
        <w:pStyle w:val="59"/>
        <w:rPr>
          <w:rFonts w:hint="eastAsia"/>
        </w:rPr>
      </w:pPr>
      <w:r>
        <w:rPr>
          <w:rFonts w:hint="eastAsia"/>
        </w:rPr>
        <w:t xml:space="preserve">   采用AI技术实现其预期用途的医疗器械</w:t>
      </w:r>
    </w:p>
    <w:p>
      <w:pPr>
        <w:pStyle w:val="59"/>
        <w:rPr>
          <w:rFonts w:hint="eastAsia"/>
        </w:rPr>
      </w:pPr>
      <w:r>
        <w:rPr>
          <w:rFonts w:hint="eastAsia"/>
        </w:rPr>
        <w:t>注1：如采用机器学习、模式识别、规则推理等技术实现其用途的独立软件。</w:t>
      </w:r>
    </w:p>
    <w:p>
      <w:pPr>
        <w:pStyle w:val="59"/>
        <w:rPr>
          <w:rFonts w:hint="eastAsia"/>
        </w:rPr>
      </w:pPr>
      <w:r>
        <w:rPr>
          <w:rFonts w:hint="eastAsia"/>
        </w:rPr>
        <w:t>注2：如采用内嵌AI算法、AI芯片实现其医疗用途的医疗器械。</w:t>
      </w:r>
    </w:p>
    <w:p>
      <w:pPr>
        <w:pStyle w:val="59"/>
        <w:rPr>
          <w:rFonts w:hint="eastAsia"/>
        </w:rPr>
      </w:pPr>
      <w:r>
        <w:rPr>
          <w:rFonts w:hint="eastAsia"/>
        </w:rPr>
        <w:t>[YY/T 133.1-2022]</w:t>
      </w:r>
    </w:p>
    <w:p>
      <w:pPr>
        <w:pStyle w:val="59"/>
        <w:rPr>
          <w:rFonts w:hint="eastAsia"/>
        </w:rPr>
      </w:pPr>
      <w:r>
        <w:rPr>
          <w:rFonts w:hint="eastAsia"/>
          <w:lang w:eastAsia="zh-CN"/>
        </w:rPr>
        <w:t>（</w:t>
      </w:r>
      <w:r>
        <w:rPr>
          <w:rFonts w:hint="eastAsia"/>
          <w:lang w:val="en-US" w:eastAsia="zh-CN"/>
        </w:rPr>
        <w:t>2</w:t>
      </w:r>
      <w:r>
        <w:rPr>
          <w:rFonts w:hint="eastAsia"/>
          <w:lang w:eastAsia="zh-CN"/>
        </w:rPr>
        <w:t>）</w:t>
      </w:r>
      <w:r>
        <w:rPr>
          <w:rFonts w:hint="eastAsia"/>
        </w:rPr>
        <w:t>继发性高血压风险识别人工智能辅助诊断技术</w:t>
      </w:r>
    </w:p>
    <w:p>
      <w:pPr>
        <w:pStyle w:val="59"/>
        <w:rPr>
          <w:rFonts w:hint="eastAsia"/>
        </w:rPr>
      </w:pPr>
      <w:r>
        <w:rPr>
          <w:rFonts w:hint="eastAsia"/>
        </w:rPr>
        <w:t>继发性高血压风险识别人工智能辅助诊断技术是指医务人员采用人工智能(AI)技术用于辅助继发性高血压风险识别的一项医疗技术。该技术基于患者基本特征、生命指征、血压波动特征、常规血液学检查结果（包括血常规、生化1、生化4等）此类易于采集的数据，协助临床医生尤其是基层医院医生，在患者首次确诊高血压后进行继发性高血压风险识别，筛选出继发性高血压高风险患者，建议进一步进行继发性高血压病因诊断。</w:t>
      </w:r>
    </w:p>
    <w:p>
      <w:pPr>
        <w:pStyle w:val="59"/>
        <w:rPr>
          <w:rFonts w:hint="eastAsia"/>
        </w:rPr>
      </w:pPr>
      <w:r>
        <w:rPr>
          <w:rFonts w:hint="eastAsia"/>
          <w:lang w:eastAsia="zh-CN"/>
        </w:rPr>
        <w:t>（</w:t>
      </w:r>
      <w:r>
        <w:rPr>
          <w:rFonts w:hint="eastAsia"/>
          <w:lang w:val="en-US" w:eastAsia="zh-CN"/>
        </w:rPr>
        <w:t>3</w:t>
      </w:r>
      <w:r>
        <w:rPr>
          <w:rFonts w:hint="eastAsia"/>
          <w:lang w:eastAsia="zh-CN"/>
        </w:rPr>
        <w:t>）</w:t>
      </w:r>
      <w:r>
        <w:rPr>
          <w:rFonts w:hint="eastAsia"/>
        </w:rPr>
        <w:t>继发性高血压</w:t>
      </w:r>
    </w:p>
    <w:p>
      <w:pPr>
        <w:pStyle w:val="59"/>
        <w:rPr>
          <w:rFonts w:hint="eastAsia"/>
        </w:rPr>
      </w:pPr>
      <w:r>
        <w:rPr>
          <w:rFonts w:hint="eastAsia"/>
        </w:rPr>
        <w:t>继发性高血压是病因明确的高血压，当查出病因，并有效去除或控制病因后，作为继发症状的高血压可被治愈或明显缓解。对继发性高血压的筛查、鉴别成为高血压诊断评估和治疗的重要内容。临床上，当患者有相应临床表现、体格检查线索，或是难治性高血压时，建议筛查、排除继发性高血压。</w:t>
      </w:r>
    </w:p>
    <w:p>
      <w:pPr>
        <w:pStyle w:val="59"/>
        <w:rPr>
          <w:rFonts w:hint="eastAsia"/>
        </w:rPr>
      </w:pPr>
      <w:r>
        <w:rPr>
          <w:rFonts w:hint="eastAsia"/>
        </w:rPr>
        <w:t>本AI产品采集患者基本特征、生命指征、血压波动特征、常规血液学检查结果，并综合考虑以下因素： （1）血压中、重度升高的年轻高血压患者；（2）舒张压高于100 mmHg 的老年高血压患者（年龄≥65岁）；（3）症状、体征或实验室检查有怀疑线索，例如肢体脉搏搏动不对称性减弱或缺失，腹部听到粗糙的血管杂音，既往患有肾脏疾病史等；（4）不明原因的高血压伴低血钾。基于先前构建的继发性高血压风险识别算法，筛选出继发性高血压高、中、低危患者。</w:t>
      </w:r>
    </w:p>
    <w:p>
      <w:pPr>
        <w:pStyle w:val="59"/>
        <w:rPr>
          <w:rFonts w:hint="eastAsia" w:eastAsia="宋体"/>
          <w:lang w:val="en-US" w:eastAsia="zh-CN"/>
        </w:rPr>
      </w:pPr>
      <w:r>
        <w:rPr>
          <w:rFonts w:hint="eastAsia"/>
          <w:lang w:val="en-US" w:eastAsia="zh-CN"/>
        </w:rPr>
        <w:t>定义</w:t>
      </w:r>
    </w:p>
    <w:p>
      <w:pPr>
        <w:pStyle w:val="59"/>
        <w:ind w:firstLine="420"/>
      </w:pPr>
      <w:bookmarkStart w:id="63" w:name="_GoBack"/>
      <w:bookmarkEnd w:id="63"/>
      <w:r>
        <w:rPr>
          <w:rFonts w:hint="eastAsia"/>
        </w:rPr>
        <w:t xml:space="preserve">(1)血压：血压（blood pressure，BP）是指血液在血管内流动时作用于单位面积血管壁的侧压力，它是推动血液在血管内流动的动力。在不同血管内被分别称为动脉血压、毛细血管压和静脉血压，通常所说的血压是指体循环的动脉血压。 </w:t>
      </w:r>
    </w:p>
    <w:p>
      <w:pPr>
        <w:pStyle w:val="59"/>
        <w:ind w:firstLine="420"/>
      </w:pPr>
      <w:r>
        <w:rPr>
          <w:rFonts w:hint="eastAsia"/>
        </w:rPr>
        <w:t>(</w:t>
      </w:r>
      <w:r>
        <w:rPr>
          <w:rFonts w:hint="eastAsia"/>
          <w:lang w:val="en-US" w:eastAsia="zh-CN"/>
        </w:rPr>
        <w:t>2</w:t>
      </w:r>
      <w:r>
        <w:rPr>
          <w:rFonts w:hint="eastAsia"/>
        </w:rPr>
        <w:t>)偶测血压：被测者在没有任何准备的情况下测得的血压。</w:t>
      </w:r>
    </w:p>
    <w:p>
      <w:pPr>
        <w:pStyle w:val="59"/>
        <w:ind w:firstLine="420"/>
      </w:pPr>
      <w:r>
        <w:rPr>
          <w:rFonts w:hint="eastAsia"/>
        </w:rPr>
        <w:t>(</w:t>
      </w:r>
      <w:r>
        <w:rPr>
          <w:rFonts w:hint="eastAsia"/>
          <w:lang w:val="en-US" w:eastAsia="zh-CN"/>
        </w:rPr>
        <w:t>3</w:t>
      </w:r>
      <w:r>
        <w:rPr>
          <w:rFonts w:hint="eastAsia"/>
        </w:rPr>
        <w:t>)动态血压：使用动态血压记录仪测定一个人昼夜24小时内，每间隔一定时间内的血压值。动态血压包括收缩压、舒张压、平均动脉压、心率以及它们的最高值和最低值等项目。</w:t>
      </w:r>
    </w:p>
    <w:p>
      <w:pPr>
        <w:pStyle w:val="59"/>
        <w:ind w:firstLine="420"/>
        <w:rPr>
          <w:rFonts w:hint="eastAsia" w:eastAsia="宋体"/>
          <w:lang w:val="en-US" w:eastAsia="zh-CN"/>
        </w:rPr>
      </w:pPr>
      <w:r>
        <w:rPr>
          <w:rFonts w:hint="eastAsia"/>
        </w:rPr>
        <w:t>(</w:t>
      </w:r>
      <w:r>
        <w:rPr>
          <w:rFonts w:hint="eastAsia"/>
          <w:lang w:val="en-US" w:eastAsia="zh-CN"/>
        </w:rPr>
        <w:t>4</w:t>
      </w:r>
      <w:r>
        <w:rPr>
          <w:rFonts w:hint="eastAsia"/>
        </w:rPr>
        <w:t>)高血压：动脉血压超过正常值的异常升高。</w:t>
      </w:r>
      <w:r>
        <w:rPr>
          <w:rFonts w:hint="eastAsia"/>
          <w:lang w:val="en-US" w:eastAsia="zh-CN"/>
        </w:rPr>
        <w:t>本指南定义为</w:t>
      </w:r>
      <w:r>
        <w:rPr>
          <w:rFonts w:hint="eastAsia"/>
        </w:rPr>
        <w:t>收缩压≥140mmHg和(或)舒张压~&gt;90mmHg</w:t>
      </w:r>
      <w:r>
        <w:rPr>
          <w:rFonts w:hint="eastAsia"/>
          <w:lang w:eastAsia="zh-CN"/>
        </w:rPr>
        <w:t>。</w:t>
      </w:r>
    </w:p>
    <w:p>
      <w:pPr>
        <w:pStyle w:val="59"/>
        <w:ind w:firstLine="420"/>
      </w:pPr>
      <w:r>
        <w:rPr>
          <w:rFonts w:hint="eastAsia"/>
        </w:rPr>
        <w:t>(</w:t>
      </w:r>
      <w:r>
        <w:rPr>
          <w:rFonts w:hint="eastAsia"/>
          <w:lang w:val="en-US" w:eastAsia="zh-CN"/>
        </w:rPr>
        <w:t>5</w:t>
      </w:r>
      <w:r>
        <w:rPr>
          <w:rFonts w:hint="eastAsia"/>
        </w:rPr>
        <w:t>)收缩压：心室收缩时，主动脉压急剧升高，在收缩期的中期达到最高值，这时的动脉血压值称为收缩压，也称为“高压”。</w:t>
      </w:r>
    </w:p>
    <w:p>
      <w:pPr>
        <w:pStyle w:val="59"/>
        <w:ind w:firstLine="420"/>
      </w:pPr>
      <w:r>
        <w:rPr>
          <w:rFonts w:hint="eastAsia"/>
        </w:rPr>
        <w:t>(</w:t>
      </w:r>
      <w:r>
        <w:rPr>
          <w:rFonts w:hint="eastAsia"/>
          <w:lang w:val="en-US" w:eastAsia="zh-CN"/>
        </w:rPr>
        <w:t>6</w:t>
      </w:r>
      <w:r>
        <w:rPr>
          <w:rFonts w:hint="eastAsia"/>
        </w:rPr>
        <w:t>)舒张压：心室舒张时，主动脉压下降，在心舒末期动脉血压的最低值称为舒张压，也称为“低压”。</w:t>
      </w:r>
    </w:p>
    <w:p>
      <w:pPr>
        <w:pStyle w:val="59"/>
        <w:ind w:firstLine="420"/>
      </w:pPr>
      <w:r>
        <w:rPr>
          <w:rFonts w:hint="eastAsia"/>
        </w:rPr>
        <w:t>(</w:t>
      </w:r>
      <w:r>
        <w:rPr>
          <w:rFonts w:hint="eastAsia"/>
          <w:lang w:val="en-US" w:eastAsia="zh-CN"/>
        </w:rPr>
        <w:t>7</w:t>
      </w:r>
      <w:r>
        <w:rPr>
          <w:rFonts w:hint="eastAsia"/>
        </w:rPr>
        <w:t>)脉压：收缩压减舒张压的差值。</w:t>
      </w:r>
    </w:p>
    <w:p>
      <w:pPr>
        <w:pStyle w:val="59"/>
        <w:ind w:firstLine="420"/>
      </w:pPr>
      <w:r>
        <w:rPr>
          <w:rFonts w:hint="eastAsia"/>
        </w:rPr>
        <w:t>(</w:t>
      </w:r>
      <w:r>
        <w:rPr>
          <w:rFonts w:hint="eastAsia"/>
          <w:lang w:val="en-US" w:eastAsia="zh-CN"/>
        </w:rPr>
        <w:t>8</w:t>
      </w:r>
      <w:r>
        <w:rPr>
          <w:rFonts w:hint="eastAsia"/>
        </w:rPr>
        <w:t>)平均动脉压：一个心动周期中每一瞬间动脉血压的平均值，大约等于舒张压加1／3脉压。</w:t>
      </w:r>
    </w:p>
    <w:p>
      <w:pPr>
        <w:pStyle w:val="59"/>
        <w:ind w:firstLine="420"/>
      </w:pPr>
      <w:r>
        <w:rPr>
          <w:rFonts w:hint="eastAsia"/>
        </w:rPr>
        <w:t>(</w:t>
      </w:r>
      <w:r>
        <w:rPr>
          <w:rFonts w:hint="eastAsia"/>
          <w:lang w:val="en-US" w:eastAsia="zh-CN"/>
        </w:rPr>
        <w:t>9</w:t>
      </w:r>
      <w:r>
        <w:rPr>
          <w:rFonts w:hint="eastAsia"/>
        </w:rPr>
        <w:t>)KPa：千帕，通常用于表示血压数值。</w:t>
      </w:r>
    </w:p>
    <w:p>
      <w:pPr>
        <w:pStyle w:val="59"/>
        <w:ind w:firstLine="420"/>
      </w:pPr>
      <w:r>
        <w:rPr>
          <w:rFonts w:hint="eastAsia"/>
        </w:rPr>
        <w:t>(1</w:t>
      </w:r>
      <w:r>
        <w:rPr>
          <w:rFonts w:hint="eastAsia"/>
          <w:lang w:val="en-US" w:eastAsia="zh-CN"/>
        </w:rPr>
        <w:t>0</w:t>
      </w:r>
      <w:r>
        <w:rPr>
          <w:rFonts w:hint="eastAsia"/>
        </w:rPr>
        <w:t>)mmHg：毫米汞柱，人们用水银血压计来测量血压时用水银柱的高度“毫米汞柱”来表示血压的水平。</w:t>
      </w:r>
    </w:p>
    <w:p>
      <w:pPr>
        <w:pStyle w:val="59"/>
        <w:ind w:firstLine="420"/>
      </w:pPr>
      <w:r>
        <w:rPr>
          <w:rFonts w:hint="eastAsia"/>
        </w:rPr>
        <w:t>1mmHg(毫米汞柱)=0．133kPa(千帕斯卡)</w:t>
      </w:r>
    </w:p>
    <w:p>
      <w:pPr>
        <w:pStyle w:val="59"/>
        <w:ind w:firstLine="420"/>
      </w:pPr>
      <w:r>
        <w:rPr>
          <w:rFonts w:hint="eastAsia"/>
        </w:rPr>
        <w:t>7．5mmHg(毫米汞柱)=1kPa(千帕斯卡)</w:t>
      </w:r>
    </w:p>
    <w:p>
      <w:pPr>
        <w:pStyle w:val="59"/>
        <w:ind w:firstLine="420"/>
      </w:pPr>
      <w:r>
        <w:rPr>
          <w:rFonts w:hint="eastAsia"/>
        </w:rPr>
        <w:t>(1</w:t>
      </w:r>
      <w:r>
        <w:rPr>
          <w:rFonts w:hint="eastAsia"/>
          <w:lang w:val="en-US" w:eastAsia="zh-CN"/>
        </w:rPr>
        <w:t>1</w:t>
      </w:r>
      <w:r>
        <w:rPr>
          <w:rFonts w:hint="eastAsia"/>
        </w:rPr>
        <w:t>)理想血压：收缩压&lt;120ramHg和舒张压&lt;80mmHg。</w:t>
      </w:r>
    </w:p>
    <w:p>
      <w:pPr>
        <w:pStyle w:val="59"/>
        <w:ind w:firstLine="420"/>
      </w:pPr>
      <w:r>
        <w:rPr>
          <w:rFonts w:hint="eastAsia"/>
        </w:rPr>
        <w:t>(1</w:t>
      </w:r>
      <w:r>
        <w:rPr>
          <w:rFonts w:hint="eastAsia"/>
          <w:lang w:val="en-US" w:eastAsia="zh-CN"/>
        </w:rPr>
        <w:t>2</w:t>
      </w:r>
      <w:r>
        <w:rPr>
          <w:rFonts w:hint="eastAsia"/>
        </w:rPr>
        <w:t>)正常血压：收缩压应&lt;130mmHg，舒张压&lt;85mmHg。</w:t>
      </w:r>
    </w:p>
    <w:p>
      <w:pPr>
        <w:pStyle w:val="59"/>
        <w:ind w:firstLine="420"/>
      </w:pPr>
      <w:r>
        <w:rPr>
          <w:rFonts w:hint="eastAsia"/>
        </w:rPr>
        <w:t>(1</w:t>
      </w:r>
      <w:r>
        <w:rPr>
          <w:rFonts w:hint="eastAsia"/>
          <w:lang w:val="en-US" w:eastAsia="zh-CN"/>
        </w:rPr>
        <w:t>3</w:t>
      </w:r>
      <w:r>
        <w:rPr>
          <w:rFonts w:hint="eastAsia"/>
        </w:rPr>
        <w:t>)血压正常高限或高血压前期：收缩压在130～139mmHg和／或舒张压在85～89mmHg。</w:t>
      </w:r>
    </w:p>
    <w:p>
      <w:pPr>
        <w:pStyle w:val="59"/>
        <w:ind w:firstLine="420"/>
      </w:pPr>
      <w:r>
        <w:rPr>
          <w:rFonts w:hint="eastAsia"/>
        </w:rPr>
        <w:t>(1</w:t>
      </w:r>
      <w:r>
        <w:rPr>
          <w:rFonts w:hint="eastAsia"/>
          <w:lang w:val="en-US" w:eastAsia="zh-CN"/>
        </w:rPr>
        <w:t>4</w:t>
      </w:r>
      <w:r>
        <w:rPr>
          <w:rFonts w:hint="eastAsia"/>
        </w:rPr>
        <w:t>)临界高血压：收缩压在140～160mmHg(18．6～21．3kPa)，舒张压在90～95mmHg(12．0～12．6kPa)。</w:t>
      </w:r>
    </w:p>
    <w:p>
      <w:pPr>
        <w:pStyle w:val="59"/>
        <w:ind w:firstLine="420"/>
      </w:pPr>
      <w:r>
        <w:rPr>
          <w:rFonts w:hint="eastAsia"/>
        </w:rPr>
        <w:t>(1</w:t>
      </w:r>
      <w:r>
        <w:rPr>
          <w:rFonts w:hint="eastAsia"/>
          <w:lang w:val="en-US" w:eastAsia="zh-CN"/>
        </w:rPr>
        <w:t>5</w:t>
      </w:r>
      <w:r>
        <w:rPr>
          <w:rFonts w:hint="eastAsia"/>
        </w:rPr>
        <w:t>)肌酐：人体内肌酸的代谢产物。肌酸量与肌肉容量呈正比，以稳定的速度产生，并以稳定的速度向血液中释放肌酐，由血循环带到肾脏，从尿中排出体外。长期高血压损害肾功能，使肾脏对血中肌酐的排出减少，使血肌酐升高。</w:t>
      </w:r>
    </w:p>
    <w:p>
      <w:pPr>
        <w:pStyle w:val="59"/>
        <w:ind w:firstLine="420"/>
      </w:pPr>
      <w:r>
        <w:rPr>
          <w:rFonts w:hint="eastAsia"/>
        </w:rPr>
        <w:t>(1</w:t>
      </w:r>
      <w:r>
        <w:rPr>
          <w:rFonts w:hint="eastAsia"/>
          <w:lang w:val="en-US" w:eastAsia="zh-CN"/>
        </w:rPr>
        <w:t>6</w:t>
      </w:r>
      <w:r>
        <w:rPr>
          <w:rFonts w:hint="eastAsia"/>
        </w:rPr>
        <w:t>)心脏的超声波检查：又叫超声心动图，可以反映出各瓣膜的形态、活动是否正常，各心房心室的大小及形态，心脏周围出入心脏的大血管的情况，有无先天性心脏病或风湿性心脏病造成的心脏损害、心包积液、各种心肌病，检出高血压所致的左心室肥厚和评价心功能。</w:t>
      </w:r>
    </w:p>
    <w:p>
      <w:pPr>
        <w:pStyle w:val="59"/>
        <w:ind w:firstLine="420"/>
      </w:pPr>
      <w:r>
        <w:rPr>
          <w:rFonts w:hint="eastAsia"/>
        </w:rPr>
        <w:t>(1</w:t>
      </w:r>
      <w:r>
        <w:rPr>
          <w:rFonts w:hint="eastAsia"/>
          <w:lang w:val="en-US" w:eastAsia="zh-CN"/>
        </w:rPr>
        <w:t>7</w:t>
      </w:r>
      <w:r>
        <w:rPr>
          <w:rFonts w:hint="eastAsia"/>
        </w:rPr>
        <w:t>)原发性高血压：原因不明的高血压，占90％以上，目前尚难根治但能被控制。也叫高血压病。</w:t>
      </w:r>
    </w:p>
    <w:p>
      <w:pPr>
        <w:pStyle w:val="59"/>
        <w:ind w:firstLine="420"/>
      </w:pPr>
      <w:r>
        <w:rPr>
          <w:rFonts w:hint="eastAsia"/>
        </w:rPr>
        <w:t>(</w:t>
      </w:r>
      <w:r>
        <w:rPr>
          <w:rFonts w:hint="eastAsia"/>
          <w:lang w:val="en-US" w:eastAsia="zh-CN"/>
        </w:rPr>
        <w:t>18</w:t>
      </w:r>
      <w:r>
        <w:rPr>
          <w:rFonts w:hint="eastAsia"/>
        </w:rPr>
        <w:t>)继发性高血压：也叫症状性高血压。由于某些疾病(肾脏疾病、内分泌疾病如肾上腺肿瘤或增生和其他原因所致)在其发展过程中产生的，原发疾病治愈后，血压也会随之下降，占高血压患者的5％～10％。</w:t>
      </w:r>
    </w:p>
    <w:p>
      <w:pPr>
        <w:pStyle w:val="59"/>
        <w:ind w:firstLine="420"/>
      </w:pPr>
      <w:r>
        <w:rPr>
          <w:rFonts w:hint="eastAsia"/>
        </w:rPr>
        <w:t>(</w:t>
      </w:r>
      <w:r>
        <w:rPr>
          <w:rFonts w:hint="eastAsia"/>
          <w:lang w:val="en-US" w:eastAsia="zh-CN"/>
        </w:rPr>
        <w:t>19</w:t>
      </w:r>
      <w:r>
        <w:rPr>
          <w:rFonts w:hint="eastAsia"/>
        </w:rPr>
        <w:t>)肾血管性高血压：指各种原因引起的肾动脉或其主要分支的狭窄或闭塞性疾病，引起肾血流量减少或缺血所致的高血压。</w:t>
      </w:r>
    </w:p>
    <w:p>
      <w:pPr>
        <w:pStyle w:val="59"/>
        <w:ind w:firstLine="420"/>
      </w:pPr>
      <w:r>
        <w:rPr>
          <w:rFonts w:hint="eastAsia"/>
        </w:rPr>
        <w:t>(2</w:t>
      </w:r>
      <w:r>
        <w:rPr>
          <w:rFonts w:hint="eastAsia"/>
          <w:lang w:val="en-US" w:eastAsia="zh-CN"/>
        </w:rPr>
        <w:t>0</w:t>
      </w:r>
      <w:r>
        <w:rPr>
          <w:rFonts w:hint="eastAsia"/>
        </w:rPr>
        <w:t>)肾实质性高血压：肾脏实质疾病，如急、慢性肾小球肾炎，肾盂肾炎，多囊肾等引起的高血压。</w:t>
      </w:r>
    </w:p>
    <w:p>
      <w:pPr>
        <w:pStyle w:val="59"/>
        <w:ind w:firstLine="420"/>
      </w:pPr>
      <w:r>
        <w:rPr>
          <w:rFonts w:hint="eastAsia"/>
        </w:rPr>
        <w:t>(2</w:t>
      </w:r>
      <w:r>
        <w:rPr>
          <w:rFonts w:hint="eastAsia"/>
          <w:lang w:val="en-US" w:eastAsia="zh-CN"/>
        </w:rPr>
        <w:t>1</w:t>
      </w:r>
      <w:r>
        <w:rPr>
          <w:rFonts w:hint="eastAsia"/>
        </w:rPr>
        <w:t>)库欣综合征：是由于长时间接触皮质醇或其分泌量过高而造成的一系列临床表现与体征。其临床表现与体征可能包括：高血压、向心型肥胖（肚腩有赘肉但双臂与双腿较细）、紫纹（红色或紫色的短纹）、满月脸（脸又圆又红）、脂失养（水牛肩，两肩中间有一较大肿块）、肌肉无力、骨质疏松、粉刺、皮肤脆弱难以愈合等。</w:t>
      </w:r>
    </w:p>
    <w:p>
      <w:pPr>
        <w:pStyle w:val="59"/>
        <w:ind w:firstLine="420"/>
      </w:pPr>
      <w:r>
        <w:rPr>
          <w:rFonts w:hint="eastAsia"/>
        </w:rPr>
        <w:t>(2</w:t>
      </w:r>
      <w:r>
        <w:rPr>
          <w:rFonts w:hint="eastAsia"/>
          <w:lang w:val="en-US" w:eastAsia="zh-CN"/>
        </w:rPr>
        <w:t>2</w:t>
      </w:r>
      <w:r>
        <w:rPr>
          <w:rFonts w:hint="eastAsia"/>
        </w:rPr>
        <w:t>)原发性醛固酮增多症：是由于肾上腺的皮质肿瘤或增生，醛固酮分泌增多所致。原醛症是一种继发性高血压症，约占高血压症中0.4～2%。发病年龄高峰为30～50岁，女性较男性多见。引起本病最常见的原因为醛固酮瘤，约占原醛症的60%～80%，大多数为单个腺瘤，左侧多见。其次有双侧肾上腺皮质增生，又称为特发性醛固酮增多症，约占20%～30%。少见原因有地塞米松可抑制性醛固酮 增多症，醛固酮癌、异位分泌醛固酮的肿瘤。　　</w:t>
      </w:r>
    </w:p>
    <w:p>
      <w:pPr>
        <w:pStyle w:val="59"/>
        <w:ind w:firstLine="420"/>
      </w:pPr>
      <w:r>
        <w:rPr>
          <w:rFonts w:hint="eastAsia"/>
        </w:rPr>
        <w:t>(2</w:t>
      </w:r>
      <w:r>
        <w:rPr>
          <w:rFonts w:hint="eastAsia"/>
          <w:lang w:val="en-US" w:eastAsia="zh-CN"/>
        </w:rPr>
        <w:t>3</w:t>
      </w:r>
      <w:r>
        <w:rPr>
          <w:rFonts w:hint="eastAsia"/>
        </w:rPr>
        <w:t>)阻塞性睡眠呼吸暂停综合征：是一种病因不明的睡眠呼吸疾病，临床表现有夜间睡眠打鼾伴呼吸暂停和白天嗜睡。由于呼吸暂停引起反复发作的夜间低氧和高碳酸血症，可导致高血压，冠心病，糖尿病和脑血管疾病等并发症及交通事故，甚至出现夜间猝死。</w:t>
      </w:r>
    </w:p>
    <w:p>
      <w:pPr>
        <w:pStyle w:val="59"/>
        <w:ind w:firstLine="420"/>
      </w:pPr>
      <w:r>
        <w:rPr>
          <w:rFonts w:hint="eastAsia"/>
        </w:rPr>
        <w:t>(2</w:t>
      </w:r>
      <w:r>
        <w:rPr>
          <w:rFonts w:hint="eastAsia"/>
          <w:lang w:val="en-US" w:eastAsia="zh-CN"/>
        </w:rPr>
        <w:t>4</w:t>
      </w:r>
      <w:r>
        <w:rPr>
          <w:rFonts w:hint="eastAsia"/>
        </w:rPr>
        <w:t>)嗜铬细胞瘤：为起源于神经外胚层嗜铬组织的肿瘤，主要分泌儿茶酚胺，根据肿瘤是来自交感神经或副交感神经将副神经节瘤分为副交感神经副神经节瘤（包括化学感受器瘤、颈动脉体瘤等）及交感神经副神经节瘤（包括腹膜后、盆腔及纵隔后的副神经节瘤）。某些患者可因长期高血压致严重的心、脑、肾损害或因突发严重高血压而导致危象，危及生命，但如能及时、早期获得诊断和治疗，是一种可治愈的继发性高血压病。</w:t>
      </w:r>
    </w:p>
    <w:p>
      <w:pPr>
        <w:pStyle w:val="59"/>
      </w:pPr>
    </w:p>
    <w:p>
      <w:pPr>
        <w:pStyle w:val="107"/>
        <w:spacing w:before="240" w:after="240"/>
      </w:pPr>
      <w:bookmarkStart w:id="49" w:name="_Toc93077080"/>
      <w:bookmarkStart w:id="50" w:name="_Toc80192997"/>
      <w:r>
        <w:rPr>
          <w:rFonts w:hint="eastAsia"/>
        </w:rPr>
        <w:t>缩略语</w:t>
      </w:r>
      <w:bookmarkEnd w:id="49"/>
    </w:p>
    <w:bookmarkEnd w:id="50"/>
    <w:p>
      <w:pPr>
        <w:pStyle w:val="59"/>
        <w:ind w:firstLine="420" w:firstLineChars="0"/>
        <w:rPr>
          <w:rFonts w:hint="eastAsia"/>
        </w:rPr>
      </w:pPr>
      <w:r>
        <w:rPr>
          <w:rFonts w:hint="eastAsia"/>
        </w:rPr>
        <w:t>以下缩略语适用于本文件：</w:t>
      </w:r>
    </w:p>
    <w:p>
      <w:pPr>
        <w:pStyle w:val="59"/>
        <w:ind w:firstLine="420" w:firstLineChars="0"/>
        <w:rPr>
          <w:rFonts w:hint="eastAsia"/>
        </w:rPr>
      </w:pPr>
      <w:r>
        <w:rPr>
          <w:rFonts w:hint="eastAsia"/>
        </w:rPr>
        <w:t>AI：人工智能（Artificial Intelligence）</w:t>
      </w:r>
    </w:p>
    <w:p>
      <w:pPr>
        <w:pStyle w:val="59"/>
        <w:ind w:firstLine="420" w:firstLineChars="0"/>
        <w:rPr>
          <w:rFonts w:hint="eastAsia"/>
        </w:rPr>
      </w:pPr>
      <w:r>
        <w:rPr>
          <w:rFonts w:hint="eastAsia"/>
        </w:rPr>
        <w:t>AIMD：人工智能医疗器械（Artificial intelligency medical device）</w:t>
      </w:r>
    </w:p>
    <w:p>
      <w:pPr>
        <w:pStyle w:val="59"/>
        <w:ind w:firstLine="420" w:firstLineChars="0"/>
        <w:rPr>
          <w:rFonts w:hint="eastAsia"/>
        </w:rPr>
      </w:pPr>
      <w:r>
        <w:rPr>
          <w:rFonts w:hint="eastAsia"/>
        </w:rPr>
        <w:t>SHT：继发性高血压（Secondary hypertension）</w:t>
      </w:r>
    </w:p>
    <w:p>
      <w:pPr>
        <w:pStyle w:val="59"/>
        <w:ind w:firstLine="420" w:firstLineChars="0"/>
        <w:rPr>
          <w:rFonts w:hint="eastAsia"/>
        </w:rPr>
      </w:pPr>
      <w:r>
        <w:rPr>
          <w:rFonts w:hint="eastAsia"/>
        </w:rPr>
        <w:t>BP：血压（Blood pressure）</w:t>
      </w:r>
    </w:p>
    <w:bookmarkEnd w:id="23"/>
    <w:p>
      <w:pPr>
        <w:pStyle w:val="107"/>
        <w:spacing w:before="240" w:after="240"/>
        <w:rPr>
          <w:rFonts w:hint="default" w:eastAsia="黑体"/>
          <w:lang w:val="en-US" w:eastAsia="zh-CN"/>
        </w:rPr>
      </w:pPr>
      <w:bookmarkStart w:id="51" w:name="_Toc93077081"/>
      <w:bookmarkStart w:id="52" w:name="_Toc80192998"/>
      <w:bookmarkStart w:id="53" w:name="_Toc80192999"/>
      <w:bookmarkStart w:id="54" w:name="BookMark5"/>
      <w:r>
        <w:rPr>
          <w:rFonts w:hint="eastAsia"/>
        </w:rPr>
        <w:t>数据集总要求</w:t>
      </w:r>
      <w:bookmarkEnd w:id="51"/>
      <w:bookmarkEnd w:id="52"/>
    </w:p>
    <w:p>
      <w:pPr>
        <w:pStyle w:val="108"/>
        <w:spacing w:before="120" w:after="120"/>
      </w:pPr>
      <w:r>
        <w:rPr>
          <w:rFonts w:hint="eastAsia"/>
          <w:lang w:val="en-US" w:eastAsia="zh-CN"/>
        </w:rPr>
        <w:t>数据来源</w:t>
      </w:r>
    </w:p>
    <w:p>
      <w:pPr>
        <w:pStyle w:val="59"/>
      </w:pPr>
      <w:r>
        <w:rPr>
          <w:rFonts w:hint="eastAsia"/>
          <w:lang w:val="en-US" w:eastAsia="zh-CN"/>
        </w:rPr>
        <w:t>数据来源于四川大学华西医院与2011-2021年住院的诊断包含“高血压”的患者</w:t>
      </w:r>
    </w:p>
    <w:p>
      <w:pPr>
        <w:pStyle w:val="108"/>
        <w:spacing w:before="120" w:after="120"/>
      </w:pPr>
      <w:r>
        <w:rPr>
          <w:rFonts w:hint="eastAsia"/>
        </w:rPr>
        <w:t>数据类型</w:t>
      </w:r>
      <w:bookmarkEnd w:id="53"/>
    </w:p>
    <w:p>
      <w:pPr>
        <w:pStyle w:val="59"/>
        <w:ind w:firstLine="420"/>
      </w:pPr>
      <w:r>
        <w:rPr>
          <w:rFonts w:hint="eastAsia"/>
        </w:rPr>
        <w:t>数据类型应包含宫颈TBS报告系统中涉及的所有病变类型，包括继发性高血压相关信息，如患者年龄、性别、病史、生化指标、疾病ICD编码等。每一类型宜尽可能包括更多的细分类。具体数据集分类及医学和风险级别定义见附录A。</w:t>
      </w:r>
    </w:p>
    <w:p>
      <w:pPr>
        <w:pStyle w:val="108"/>
        <w:spacing w:before="120" w:after="120"/>
      </w:pPr>
      <w:bookmarkStart w:id="55" w:name="_Toc80193000"/>
      <w:r>
        <w:rPr>
          <w:rFonts w:hint="eastAsia"/>
        </w:rPr>
        <w:t>数据分布</w:t>
      </w:r>
      <w:bookmarkEnd w:id="55"/>
    </w:p>
    <w:p>
      <w:pPr>
        <w:pStyle w:val="59"/>
        <w:ind w:firstLine="420"/>
      </w:pPr>
      <w:r>
        <w:rPr>
          <w:rFonts w:hint="eastAsia"/>
        </w:rPr>
        <w:t>为保证数据集具有充分的临床代表性，控制偏倚，数据分布宜充分考虑数据多样性，包括如下情况：</w:t>
      </w:r>
    </w:p>
    <w:p>
      <w:pPr>
        <w:pStyle w:val="177"/>
        <w:numPr>
          <w:ilvl w:val="0"/>
          <w:numId w:val="32"/>
        </w:numPr>
      </w:pPr>
      <w:r>
        <w:rPr>
          <w:rFonts w:hint="eastAsia"/>
        </w:rPr>
        <w:t>考虑受试者人群差异：数据应覆盖全国各部分地域包括沿海与内陆、南部与北部地区。数据集宜覆盖5个不同省市的10家以上不同医疗机构，各医疗机构样本比例不宜高于10%；</w:t>
      </w:r>
    </w:p>
    <w:p>
      <w:pPr>
        <w:pStyle w:val="177"/>
      </w:pPr>
      <w:r>
        <w:rPr>
          <w:rFonts w:hint="eastAsia"/>
        </w:rPr>
        <w:t>考虑采集场所差异：数据应主要以门诊病人为主，可包含部分体检及宫颈癌筛查人群；</w:t>
      </w:r>
    </w:p>
    <w:p>
      <w:pPr>
        <w:pStyle w:val="177"/>
      </w:pPr>
      <w:r>
        <w:rPr>
          <w:rFonts w:hint="eastAsia"/>
        </w:rPr>
        <w:t>考虑设备与配置差异：数据应采用两种或以上的液基制片技术，选取其中一种作为数据集的主要组成部分。数据宜尽可能包含不同层级的代表性临床机构，来自多家不同厂商、设备型号、参数的制片设备和数字化采集设备；</w:t>
      </w:r>
    </w:p>
    <w:p>
      <w:pPr>
        <w:pStyle w:val="177"/>
      </w:pPr>
      <w:r>
        <w:rPr>
          <w:rFonts w:hint="eastAsia"/>
        </w:rPr>
        <w:t>考虑预期使用者的代表性：数据应符合继发性高血压的流行病学特征，包括疾病构成、人群分布等。患者年龄、疾病分型、分级、分期的具体数据分布和数据量应符合流行病学和统计学要求。疾病分型、分级、分期数据应满足5.1相关要求；</w:t>
      </w:r>
    </w:p>
    <w:p>
      <w:pPr>
        <w:pStyle w:val="177"/>
      </w:pPr>
      <w:r>
        <w:rPr>
          <w:rFonts w:hint="eastAsia"/>
        </w:rPr>
        <w:t>考虑疑难少见病例：数据集中应包括一定数量的疑难少见病例，？</w:t>
      </w:r>
    </w:p>
    <w:p>
      <w:pPr>
        <w:pStyle w:val="108"/>
        <w:spacing w:before="120" w:after="120"/>
      </w:pPr>
      <w:bookmarkStart w:id="56" w:name="_Toc80193001"/>
      <w:r>
        <w:rPr>
          <w:rFonts w:hint="eastAsia"/>
        </w:rPr>
        <w:t>数据完备性</w:t>
      </w:r>
      <w:bookmarkEnd w:id="56"/>
    </w:p>
    <w:p>
      <w:pPr>
        <w:pStyle w:val="59"/>
        <w:ind w:firstLine="420"/>
      </w:pPr>
      <w:r>
        <w:rPr>
          <w:rFonts w:hint="eastAsia"/>
        </w:rPr>
        <w:t>训练数据集数据和测试数据集应具备受试者基本信息，包括年龄、民族、医疗机构名称、医疗机构性质、省份、细胞学判读结果。若为阳性病例还应具备组织学结果、门诊/体检/两癌筛查。</w:t>
      </w:r>
    </w:p>
    <w:p>
      <w:pPr>
        <w:pStyle w:val="59"/>
        <w:ind w:firstLine="420"/>
      </w:pPr>
      <w:r>
        <w:rPr>
          <w:rFonts w:hint="eastAsia"/>
        </w:rPr>
        <w:t>预期用途为性能测试、临床评价、产品质控等的数据集宜具备HPV检测结果和免疫组化结果。</w:t>
      </w:r>
    </w:p>
    <w:p>
      <w:pPr>
        <w:pStyle w:val="107"/>
        <w:spacing w:before="240" w:after="240"/>
      </w:pPr>
      <w:bookmarkStart w:id="57" w:name="_Toc80193002"/>
      <w:bookmarkStart w:id="58" w:name="_Toc93077082"/>
      <w:r>
        <w:rPr>
          <w:rFonts w:hint="eastAsia"/>
        </w:rPr>
        <w:t>数据采集</w:t>
      </w:r>
      <w:bookmarkEnd w:id="57"/>
      <w:bookmarkEnd w:id="58"/>
    </w:p>
    <w:p>
      <w:pPr>
        <w:pStyle w:val="108"/>
        <w:spacing w:before="120" w:after="120"/>
      </w:pPr>
      <w:bookmarkStart w:id="59" w:name="_Toc80193003"/>
      <w:r>
        <w:rPr>
          <w:rFonts w:hint="eastAsia"/>
        </w:rPr>
        <w:t>伦理与患者隐私保护</w:t>
      </w:r>
      <w:bookmarkEnd w:id="59"/>
    </w:p>
    <w:p>
      <w:pPr>
        <w:pStyle w:val="59"/>
        <w:ind w:firstLine="420"/>
      </w:pPr>
      <w:r>
        <w:rPr>
          <w:rFonts w:hint="eastAsia"/>
        </w:rPr>
        <w:t>从志愿者、体检中心、医疗机构、科研项目等途径收集的数据应符合伦理与隐私保护要求。数据应脱敏以保护患者隐私。</w:t>
      </w:r>
    </w:p>
    <w:p>
      <w:pPr>
        <w:pStyle w:val="108"/>
        <w:spacing w:before="120" w:after="120"/>
        <w:ind w:firstLine="420"/>
      </w:pPr>
      <w:r>
        <w:rPr>
          <w:rFonts w:hint="eastAsia"/>
        </w:rPr>
        <w:t>数据采集标准</w:t>
      </w:r>
    </w:p>
    <w:p>
      <w:pPr>
        <w:pStyle w:val="59"/>
        <w:ind w:firstLine="199" w:firstLineChars="95"/>
      </w:pPr>
      <w:r>
        <w:rPr>
          <w:rFonts w:hint="eastAsia"/>
        </w:rPr>
        <w:t>继发性高血压数据必须来自有资质的医疗机构或实验室，采集过程应符合相关规范和标准。元信息包括收集数据的时间、数据来源、数据精度、数据完整性、数据一致性和数据保密性等。在收集患者的生病史和体征数据时，必须包括个人的基本信息、病史、生活方式、家族史、收缩压和舒张压等，并且整合在一起，以获取更完整准确的患者信息。</w:t>
      </w:r>
    </w:p>
    <w:p>
      <w:pPr>
        <w:pStyle w:val="108"/>
        <w:spacing w:before="120" w:after="120"/>
      </w:pPr>
      <w:r>
        <w:rPr>
          <w:rFonts w:hint="eastAsia"/>
        </w:rPr>
        <w:t>数据格式标准</w:t>
      </w:r>
    </w:p>
    <w:p>
      <w:pPr>
        <w:pStyle w:val="59"/>
        <w:ind w:firstLine="199" w:firstLineChars="95"/>
      </w:pPr>
      <w:r>
        <w:rPr>
          <w:rFonts w:hint="eastAsia"/>
        </w:rPr>
        <w:t>在收集高血压的基本信息时，必须注意高血压的定义、分类和诊断策略，并且将这些信息记录到标准表格中。数据文件应命名规范，包括患者ID、采样时间、样本编号等信息，确保数据的完整性和可追溯性。</w:t>
      </w:r>
    </w:p>
    <w:p>
      <w:pPr>
        <w:pStyle w:val="108"/>
        <w:spacing w:before="120" w:after="120"/>
      </w:pPr>
      <w:r>
        <w:rPr>
          <w:rFonts w:hint="eastAsia"/>
        </w:rPr>
        <w:t>数据质量管理标准</w:t>
      </w:r>
    </w:p>
    <w:p>
      <w:pPr>
        <w:pStyle w:val="59"/>
        <w:ind w:firstLine="420" w:firstLineChars="0"/>
      </w:pPr>
      <w:r>
        <w:rPr>
          <w:rFonts w:hint="eastAsia"/>
        </w:rPr>
        <w:t>针对数据采集过程中可能出现的错误和失误，采取相应的技术和方法，保证数据质量，。所有数据必须进行质量控制，包括数据来源的质量、数据清洗的质量、数据标注的质量等。数据质量必须符合相关规范和标准，确保数据的可靠性和可信度。</w:t>
      </w:r>
    </w:p>
    <w:p>
      <w:pPr>
        <w:pStyle w:val="108"/>
        <w:spacing w:before="120" w:after="120"/>
      </w:pPr>
      <w:r>
        <w:rPr>
          <w:rFonts w:hint="eastAsia"/>
        </w:rPr>
        <w:t>数据共享</w:t>
      </w:r>
    </w:p>
    <w:p>
      <w:pPr>
        <w:pStyle w:val="59"/>
        <w:spacing w:before="120" w:after="120"/>
        <w:ind w:firstLine="525" w:firstLineChars="250"/>
      </w:pPr>
      <w:r>
        <w:rPr>
          <w:rFonts w:hint="eastAsia"/>
        </w:rPr>
        <w:t>为了支持产业界研发更先进的继发性高血压人工智能辅助风险识别产品，对于数据共享者需要签署数据使用合同，确保数据仅用于研究和学术目的。共享前需要进行数据脱敏、匿名或去标识化处理，保护个人隐私。</w:t>
      </w:r>
    </w:p>
    <w:p>
      <w:pPr>
        <w:pStyle w:val="59"/>
        <w:ind w:firstLine="420" w:firstLineChars="200"/>
        <w:rPr>
          <w:rFonts w:hint="eastAsia"/>
        </w:rPr>
      </w:pPr>
      <w:r>
        <w:rPr>
          <w:rFonts w:hint="eastAsia"/>
        </w:rPr>
        <w:t>本文件制定的继发性高血压人工智能辅助风险识别数据采集要求，旨在通过规范数据采集、格式、质量、共享和伦理，支持产业界研发更先进的继发性高血压人工智能辅助风险识别产品，进一步推动人工智能技术在继发性高血压的风险识别中的实际应用和持续健康发展。</w:t>
      </w:r>
    </w:p>
    <w:p>
      <w:pPr>
        <w:pStyle w:val="59"/>
        <w:ind w:left="0" w:leftChars="0" w:firstLine="0" w:firstLineChars="0"/>
        <w:rPr>
          <w:rFonts w:hint="eastAsia"/>
        </w:rPr>
      </w:pPr>
      <w:r>
        <w:rPr>
          <w:rFonts w:hint="eastAsia"/>
          <w:lang w:val="en-US" w:eastAsia="zh-CN"/>
        </w:rPr>
        <w:t xml:space="preserve">6.6 </w:t>
      </w:r>
      <w:r>
        <w:rPr>
          <w:rFonts w:hint="eastAsia"/>
        </w:rPr>
        <w:t>釆集设备标准</w:t>
      </w:r>
    </w:p>
    <w:p>
      <w:pPr>
        <w:pStyle w:val="59"/>
        <w:ind w:left="0" w:leftChars="0" w:firstLine="0" w:firstLineChars="0"/>
        <w:rPr>
          <w:rFonts w:hint="eastAsia"/>
        </w:rPr>
      </w:pPr>
      <w:r>
        <w:rPr>
          <w:rFonts w:hint="eastAsia"/>
          <w:lang w:val="en-US" w:eastAsia="zh-CN"/>
        </w:rPr>
        <w:t xml:space="preserve">6.6.1 </w:t>
      </w:r>
      <w:r>
        <w:rPr>
          <w:rFonts w:hint="eastAsia"/>
        </w:rPr>
        <w:t>兼容性要求</w:t>
      </w:r>
    </w:p>
    <w:p>
      <w:pPr>
        <w:pStyle w:val="59"/>
        <w:ind w:firstLine="420" w:firstLineChars="200"/>
        <w:rPr>
          <w:rFonts w:hint="eastAsia"/>
        </w:rPr>
      </w:pPr>
      <w:r>
        <w:rPr>
          <w:rFonts w:hint="eastAsia"/>
        </w:rPr>
        <w:t>兼容医院内各类数据接入源，包括原业务数据库的备份库、数据中心、集成平台和文件接口。数据库方面支持Oracle、MySQL、SQL Server等主流数据库平台。</w:t>
      </w:r>
    </w:p>
    <w:p>
      <w:pPr>
        <w:pStyle w:val="59"/>
        <w:ind w:left="0" w:leftChars="0" w:firstLine="0" w:firstLineChars="0"/>
        <w:rPr>
          <w:rFonts w:hint="eastAsia"/>
        </w:rPr>
      </w:pPr>
      <w:r>
        <w:rPr>
          <w:rFonts w:hint="eastAsia"/>
          <w:lang w:val="en-US" w:eastAsia="zh-CN"/>
        </w:rPr>
        <w:t xml:space="preserve">6.6.2 </w:t>
      </w:r>
      <w:r>
        <w:rPr>
          <w:rFonts w:hint="eastAsia"/>
        </w:rPr>
        <w:t>釆集要求</w:t>
      </w:r>
    </w:p>
    <w:p>
      <w:pPr>
        <w:pStyle w:val="59"/>
        <w:rPr>
          <w:rFonts w:hint="eastAsia"/>
        </w:rPr>
      </w:pPr>
      <w:r>
        <w:rPr>
          <w:rFonts w:hint="eastAsia"/>
          <w:lang w:val="en-US" w:eastAsia="zh-CN"/>
        </w:rPr>
        <w:t>①</w:t>
      </w:r>
      <w:r>
        <w:rPr>
          <w:rFonts w:hint="eastAsia"/>
        </w:rPr>
        <w:t>采集方式</w:t>
      </w:r>
    </w:p>
    <w:p>
      <w:pPr>
        <w:pStyle w:val="59"/>
        <w:ind w:firstLine="420" w:firstLineChars="200"/>
        <w:rPr>
          <w:rFonts w:hint="eastAsia"/>
        </w:rPr>
      </w:pPr>
      <w:r>
        <w:rPr>
          <w:rFonts w:hint="eastAsia"/>
        </w:rPr>
        <w:t>在院内部署数据采集工具，对接院方信息科提供的原业务数据库的备份库、 数据中心、集成平台或者文件接口。</w:t>
      </w:r>
    </w:p>
    <w:p>
      <w:pPr>
        <w:pStyle w:val="59"/>
        <w:ind w:firstLine="420" w:firstLineChars="200"/>
        <w:rPr>
          <w:rFonts w:hint="eastAsia"/>
        </w:rPr>
      </w:pPr>
      <w:r>
        <w:rPr>
          <w:rFonts w:hint="eastAsia"/>
          <w:lang w:val="en-US" w:eastAsia="zh-CN"/>
        </w:rPr>
        <w:t>②</w:t>
      </w:r>
      <w:r>
        <w:rPr>
          <w:rFonts w:hint="eastAsia"/>
        </w:rPr>
        <w:t>采集协议</w:t>
      </w:r>
    </w:p>
    <w:p>
      <w:pPr>
        <w:pStyle w:val="59"/>
        <w:ind w:firstLine="420" w:firstLineChars="200"/>
        <w:rPr>
          <w:rFonts w:hint="eastAsia"/>
        </w:rPr>
      </w:pPr>
      <w:r>
        <w:rPr>
          <w:rFonts w:hint="eastAsia"/>
        </w:rPr>
        <w:t>采用HTTP协议或者数据库连接协议来采集标准的电子病历数据。</w:t>
      </w:r>
    </w:p>
    <w:p>
      <w:pPr>
        <w:pStyle w:val="59"/>
        <w:ind w:firstLine="420" w:firstLineChars="200"/>
        <w:rPr>
          <w:rFonts w:hint="eastAsia"/>
        </w:rPr>
      </w:pPr>
      <w:r>
        <w:rPr>
          <w:rFonts w:hint="eastAsia"/>
          <w:lang w:val="en-US" w:eastAsia="zh-CN"/>
        </w:rPr>
        <w:t>③</w:t>
      </w:r>
      <w:r>
        <w:rPr>
          <w:rFonts w:hint="eastAsia"/>
        </w:rPr>
        <w:t>采集参数</w:t>
      </w:r>
    </w:p>
    <w:p>
      <w:pPr>
        <w:pStyle w:val="59"/>
        <w:ind w:firstLine="420" w:firstLineChars="200"/>
        <w:rPr>
          <w:rFonts w:hint="eastAsia"/>
        </w:rPr>
      </w:pPr>
      <w:r>
        <w:rPr>
          <w:rFonts w:hint="eastAsia"/>
        </w:rPr>
        <w:t>按照高血压病例数据标准要求的数据参数指标进行采集。</w:t>
      </w:r>
    </w:p>
    <w:p>
      <w:pPr>
        <w:pStyle w:val="59"/>
        <w:ind w:firstLine="420" w:firstLineChars="200"/>
        <w:rPr>
          <w:rFonts w:hint="eastAsia"/>
        </w:rPr>
      </w:pPr>
      <w:r>
        <w:rPr>
          <w:rFonts w:hint="eastAsia"/>
          <w:lang w:val="en-US" w:eastAsia="zh-CN"/>
        </w:rPr>
        <w:t>④</w:t>
      </w:r>
      <w:r>
        <w:rPr>
          <w:rFonts w:hint="eastAsia"/>
        </w:rPr>
        <w:t>采集精度</w:t>
      </w:r>
    </w:p>
    <w:p>
      <w:pPr>
        <w:pStyle w:val="59"/>
        <w:ind w:firstLine="420" w:firstLineChars="200"/>
        <w:rPr>
          <w:rFonts w:hint="eastAsia"/>
        </w:rPr>
      </w:pPr>
      <w:r>
        <w:rPr>
          <w:rFonts w:hint="eastAsia"/>
        </w:rPr>
        <w:t>按照高血压病例数据标准要求的数据精度进行采集。</w:t>
      </w:r>
    </w:p>
    <w:p>
      <w:pPr>
        <w:pStyle w:val="59"/>
        <w:ind w:left="0" w:leftChars="0" w:firstLine="0" w:firstLineChars="0"/>
        <w:rPr>
          <w:rFonts w:hint="eastAsia"/>
        </w:rPr>
      </w:pPr>
      <w:r>
        <w:rPr>
          <w:rFonts w:hint="eastAsia"/>
          <w:lang w:val="en-US" w:eastAsia="zh-CN"/>
        </w:rPr>
        <w:t xml:space="preserve">6.6.3 </w:t>
      </w:r>
      <w:r>
        <w:rPr>
          <w:rFonts w:hint="eastAsia"/>
        </w:rPr>
        <w:t>釆集过程标准</w:t>
      </w:r>
    </w:p>
    <w:p>
      <w:pPr>
        <w:pStyle w:val="59"/>
        <w:ind w:firstLine="420" w:firstLineChars="200"/>
        <w:rPr>
          <w:rFonts w:hint="eastAsia"/>
        </w:rPr>
      </w:pPr>
      <w:r>
        <w:rPr>
          <w:rFonts w:hint="eastAsia"/>
          <w:lang w:val="en-US" w:eastAsia="zh-CN"/>
        </w:rPr>
        <w:t>①</w:t>
      </w:r>
      <w:r>
        <w:rPr>
          <w:rFonts w:hint="eastAsia"/>
        </w:rPr>
        <w:t>釆集人员要求</w:t>
      </w:r>
    </w:p>
    <w:p>
      <w:pPr>
        <w:pStyle w:val="59"/>
        <w:ind w:firstLine="420" w:firstLineChars="200"/>
        <w:rPr>
          <w:rFonts w:hint="eastAsia"/>
        </w:rPr>
      </w:pPr>
      <w:r>
        <w:rPr>
          <w:rFonts w:hint="eastAsia"/>
        </w:rPr>
        <w:t>选拔</w:t>
      </w:r>
      <w:r>
        <w:rPr>
          <w:rFonts w:hint="eastAsia"/>
          <w:lang w:eastAsia="zh-CN"/>
        </w:rPr>
        <w:t>：</w:t>
      </w:r>
      <w:r>
        <w:rPr>
          <w:rFonts w:hint="eastAsia"/>
        </w:rPr>
        <w:t>经过医院信息科和相关部门同意的人选。</w:t>
      </w:r>
    </w:p>
    <w:p>
      <w:pPr>
        <w:pStyle w:val="59"/>
        <w:ind w:firstLine="420" w:firstLineChars="200"/>
        <w:rPr>
          <w:rFonts w:hint="eastAsia"/>
        </w:rPr>
      </w:pPr>
      <w:r>
        <w:rPr>
          <w:rFonts w:hint="eastAsia"/>
        </w:rPr>
        <w:t>培训</w:t>
      </w:r>
      <w:r>
        <w:rPr>
          <w:rFonts w:hint="eastAsia"/>
          <w:lang w:eastAsia="zh-CN"/>
        </w:rPr>
        <w:t>：</w:t>
      </w:r>
      <w:r>
        <w:rPr>
          <w:rFonts w:hint="eastAsia"/>
        </w:rPr>
        <w:t>对采集人员按照医院的安全和标准作业流程进行培训。</w:t>
      </w:r>
    </w:p>
    <w:p>
      <w:pPr>
        <w:pStyle w:val="59"/>
        <w:ind w:firstLine="420" w:firstLineChars="200"/>
        <w:rPr>
          <w:rFonts w:hint="eastAsia"/>
        </w:rPr>
      </w:pPr>
      <w:r>
        <w:rPr>
          <w:rFonts w:hint="eastAsia"/>
        </w:rPr>
        <w:t>考核</w:t>
      </w:r>
      <w:r>
        <w:rPr>
          <w:rFonts w:hint="eastAsia"/>
          <w:lang w:eastAsia="zh-CN"/>
        </w:rPr>
        <w:t>：</w:t>
      </w:r>
      <w:r>
        <w:rPr>
          <w:rFonts w:hint="eastAsia"/>
        </w:rPr>
        <w:t>在采集过程和结果中，按照相关标准进行考核。</w:t>
      </w:r>
    </w:p>
    <w:p>
      <w:pPr>
        <w:pStyle w:val="59"/>
        <w:ind w:firstLine="420" w:firstLineChars="200"/>
        <w:rPr>
          <w:rFonts w:hint="eastAsia"/>
        </w:rPr>
      </w:pPr>
      <w:r>
        <w:rPr>
          <w:rFonts w:hint="eastAsia"/>
          <w:lang w:val="en-US" w:eastAsia="zh-CN"/>
        </w:rPr>
        <w:t>②</w:t>
      </w:r>
      <w:r>
        <w:rPr>
          <w:rFonts w:hint="eastAsia"/>
        </w:rPr>
        <w:t>釆集过程要求</w:t>
      </w:r>
    </w:p>
    <w:p>
      <w:pPr>
        <w:pStyle w:val="59"/>
        <w:rPr>
          <w:rFonts w:hint="eastAsia"/>
        </w:rPr>
      </w:pPr>
      <w:r>
        <w:rPr>
          <w:rFonts w:hint="eastAsia"/>
        </w:rPr>
        <w:t>采集准备</w:t>
      </w:r>
      <w:r>
        <w:rPr>
          <w:rFonts w:hint="eastAsia"/>
          <w:lang w:eastAsia="zh-CN"/>
        </w:rPr>
        <w:t>：</w:t>
      </w:r>
      <w:r>
        <w:rPr>
          <w:rFonts w:hint="eastAsia"/>
        </w:rPr>
        <w:t>采集之前，在医院部署相应的由清华提供的物理服务器，在服务器上部署相应的采集工具，跟医院信息科商定采集接口，这部分工作做完即已做好采集前的准备工作。</w:t>
      </w:r>
    </w:p>
    <w:p>
      <w:pPr>
        <w:pStyle w:val="59"/>
        <w:ind w:firstLine="420" w:firstLineChars="200"/>
        <w:rPr>
          <w:rFonts w:hint="eastAsia"/>
        </w:rPr>
      </w:pPr>
      <w:r>
        <w:rPr>
          <w:rFonts w:hint="eastAsia"/>
        </w:rPr>
        <w:t>采集过程</w:t>
      </w:r>
      <w:r>
        <w:rPr>
          <w:rFonts w:hint="eastAsia"/>
          <w:lang w:eastAsia="zh-CN"/>
        </w:rPr>
        <w:t>：</w:t>
      </w:r>
      <w:r>
        <w:rPr>
          <w:rFonts w:hint="eastAsia"/>
        </w:rPr>
        <w:t>采集过程严格按照相关安全标准进行。</w:t>
      </w:r>
    </w:p>
    <w:p>
      <w:pPr>
        <w:pStyle w:val="59"/>
        <w:ind w:left="0" w:leftChars="0" w:firstLine="0" w:firstLineChars="0"/>
        <w:rPr>
          <w:rFonts w:hint="eastAsia"/>
        </w:rPr>
      </w:pPr>
      <w:r>
        <w:rPr>
          <w:rFonts w:hint="eastAsia"/>
          <w:lang w:val="en-US" w:eastAsia="zh-CN"/>
        </w:rPr>
        <w:t xml:space="preserve">6.6.4 </w:t>
      </w:r>
      <w:r>
        <w:rPr>
          <w:rFonts w:hint="eastAsia"/>
        </w:rPr>
        <w:t>数据脱敏标准</w:t>
      </w:r>
    </w:p>
    <w:p>
      <w:pPr>
        <w:pStyle w:val="59"/>
        <w:ind w:firstLine="420" w:firstLineChars="200"/>
        <w:rPr>
          <w:rFonts w:hint="eastAsia"/>
        </w:rPr>
      </w:pPr>
      <w:r>
        <w:rPr>
          <w:rFonts w:hint="eastAsia"/>
          <w:lang w:val="en-US" w:eastAsia="zh-CN"/>
        </w:rPr>
        <w:t>①</w:t>
      </w:r>
      <w:r>
        <w:rPr>
          <w:rFonts w:hint="eastAsia"/>
        </w:rPr>
        <w:t>类型</w:t>
      </w:r>
    </w:p>
    <w:p>
      <w:pPr>
        <w:pStyle w:val="59"/>
        <w:ind w:firstLine="420" w:firstLineChars="200"/>
        <w:rPr>
          <w:rFonts w:hint="eastAsia"/>
        </w:rPr>
      </w:pPr>
      <w:r>
        <w:rPr>
          <w:rFonts w:hint="eastAsia"/>
        </w:rPr>
        <w:t>数据集使用的数据必须是获得医院伦理委员会批准或者豁免的临床脱敏数据，患者的隐私保护应当满足法规的要求，保证数据脱敏、患者隐私安全和患者利益，故数据应严格遵循法规要求进行脱敏处理。</w:t>
      </w:r>
    </w:p>
    <w:p>
      <w:pPr>
        <w:pStyle w:val="59"/>
        <w:ind w:firstLine="420" w:firstLineChars="200"/>
        <w:rPr>
          <w:rFonts w:hint="eastAsia"/>
        </w:rPr>
      </w:pPr>
      <w:r>
        <w:rPr>
          <w:rFonts w:hint="eastAsia"/>
          <w:lang w:val="en-US" w:eastAsia="zh-CN"/>
        </w:rPr>
        <w:t>②</w:t>
      </w:r>
      <w:r>
        <w:rPr>
          <w:rFonts w:hint="eastAsia"/>
        </w:rPr>
        <w:t>内容</w:t>
      </w:r>
    </w:p>
    <w:p>
      <w:pPr>
        <w:pStyle w:val="59"/>
        <w:ind w:firstLine="420" w:firstLineChars="200"/>
        <w:rPr>
          <w:rFonts w:hint="eastAsia"/>
        </w:rPr>
      </w:pPr>
      <w:r>
        <w:rPr>
          <w:rFonts w:hint="eastAsia"/>
        </w:rPr>
        <w:t>被脱敏信息：病人姓名、年龄、性别、ID号、检查日期、出入院日期等所有涉及敏感信息的数据。</w:t>
      </w:r>
    </w:p>
    <w:p>
      <w:pPr>
        <w:pStyle w:val="59"/>
        <w:ind w:firstLine="420" w:firstLineChars="200"/>
        <w:rPr>
          <w:rFonts w:hint="eastAsia"/>
        </w:rPr>
      </w:pPr>
      <w:r>
        <w:rPr>
          <w:rFonts w:hint="eastAsia"/>
          <w:lang w:val="en-US" w:eastAsia="zh-CN"/>
        </w:rPr>
        <w:t>③</w:t>
      </w:r>
      <w:r>
        <w:rPr>
          <w:rFonts w:hint="eastAsia"/>
        </w:rPr>
        <w:t>方法</w:t>
      </w:r>
    </w:p>
    <w:p>
      <w:pPr>
        <w:pStyle w:val="59"/>
        <w:ind w:firstLine="420" w:firstLineChars="200"/>
        <w:rPr>
          <w:rFonts w:hint="eastAsia"/>
        </w:rPr>
      </w:pPr>
      <w:r>
        <w:rPr>
          <w:rFonts w:hint="eastAsia"/>
        </w:rPr>
        <w:t>确认具体敏感字段之后，针对相关的信息以下面的方式进行脱敏操作</w:t>
      </w:r>
    </w:p>
    <w:p>
      <w:pPr>
        <w:pStyle w:val="59"/>
        <w:ind w:firstLine="420" w:firstLineChars="200"/>
        <w:rPr>
          <w:rFonts w:hint="eastAsia"/>
        </w:rPr>
      </w:pPr>
      <w:r>
        <w:rPr>
          <w:rFonts w:hint="eastAsia"/>
        </w:rPr>
        <w:t>1</w:t>
      </w:r>
      <w:r>
        <w:rPr>
          <w:rFonts w:hint="eastAsia"/>
          <w:lang w:eastAsia="zh-CN"/>
        </w:rPr>
        <w:t>）</w:t>
      </w:r>
      <w:r>
        <w:rPr>
          <w:rFonts w:hint="eastAsia"/>
        </w:rPr>
        <w:t>姓名的去标识化</w:t>
      </w:r>
    </w:p>
    <w:p>
      <w:pPr>
        <w:pStyle w:val="59"/>
        <w:ind w:firstLine="420" w:firstLineChars="200"/>
        <w:rPr>
          <w:rFonts w:hint="eastAsia"/>
        </w:rPr>
      </w:pPr>
      <w:r>
        <w:rPr>
          <w:rFonts w:hint="eastAsia"/>
        </w:rPr>
        <w:t>姓名是一种常用的标识符，适用的去标识化方法举例如下：</w:t>
      </w:r>
    </w:p>
    <w:p>
      <w:pPr>
        <w:pStyle w:val="59"/>
        <w:ind w:firstLine="420" w:firstLineChars="200"/>
        <w:rPr>
          <w:rFonts w:hint="eastAsia"/>
        </w:rPr>
      </w:pPr>
      <w:r>
        <w:rPr>
          <w:rFonts w:hint="eastAsia"/>
        </w:rPr>
        <w:t>a）</w:t>
      </w:r>
      <w:r>
        <w:rPr>
          <w:rFonts w:hint="eastAsia"/>
        </w:rPr>
        <w:tab/>
      </w:r>
      <w:r>
        <w:rPr>
          <w:rFonts w:hint="eastAsia"/>
        </w:rPr>
        <w:t>泛化编码。使用概括、抽象的符号来表示，如使用“张先生”来代替“张 三"，或使用“张某某"来代替“张三”。这种方法是用在需要保留“姓” 这一基本特征的应用场景。</w:t>
      </w:r>
    </w:p>
    <w:p>
      <w:pPr>
        <w:pStyle w:val="59"/>
        <w:ind w:firstLine="420" w:firstLineChars="200"/>
        <w:rPr>
          <w:rFonts w:hint="eastAsia"/>
        </w:rPr>
      </w:pPr>
      <w:r>
        <w:rPr>
          <w:rFonts w:hint="eastAsia"/>
        </w:rPr>
        <w:t>b）</w:t>
      </w:r>
      <w:r>
        <w:rPr>
          <w:rFonts w:hint="eastAsia"/>
        </w:rPr>
        <w:tab/>
      </w:r>
      <w:r>
        <w:rPr>
          <w:rFonts w:hint="eastAsia"/>
        </w:rPr>
        <w:t>抑制屏蔽。直接删除姓名或使用统一的“*”来表示。如所有的姓名都使 用“***”代替。</w:t>
      </w:r>
    </w:p>
    <w:p>
      <w:pPr>
        <w:pStyle w:val="59"/>
        <w:ind w:firstLine="420" w:firstLineChars="200"/>
        <w:rPr>
          <w:rFonts w:hint="eastAsia"/>
        </w:rPr>
      </w:pPr>
      <w:r>
        <w:rPr>
          <w:rFonts w:hint="eastAsia"/>
        </w:rPr>
        <w:t>c）</w:t>
      </w:r>
      <w:r>
        <w:rPr>
          <w:rFonts w:hint="eastAsia"/>
        </w:rPr>
        <w:tab/>
      </w:r>
      <w:r>
        <w:rPr>
          <w:rFonts w:hint="eastAsia"/>
        </w:rPr>
        <w:t>随机替代。使用随机生成的汉字来表示，如使用随机生成的“辰筹猎” 来取代“张三丰”。</w:t>
      </w:r>
    </w:p>
    <w:p>
      <w:pPr>
        <w:pStyle w:val="59"/>
        <w:ind w:firstLine="420" w:firstLineChars="200"/>
        <w:rPr>
          <w:rFonts w:hint="eastAsia"/>
        </w:rPr>
      </w:pPr>
      <w:r>
        <w:rPr>
          <w:rFonts w:hint="eastAsia"/>
        </w:rPr>
        <w:t>d）</w:t>
      </w:r>
      <w:r>
        <w:rPr>
          <w:rFonts w:hint="eastAsia"/>
        </w:rPr>
        <w:tab/>
      </w:r>
      <w:r>
        <w:rPr>
          <w:rFonts w:hint="eastAsia"/>
        </w:rPr>
        <w:t>假名化。构建常用人名字典表，并从中选择一个来表示，如先构建常用 的人名字典表，包括龚小虹、黄益洪、龙家锐、……等，假名化时根据按 照顺序或随机选择一个人名代替原名。如使用“龚小虹”取代“张三 丰”。这种方法有可能用在需要保持姓名数据可逆变换的场景。</w:t>
      </w:r>
    </w:p>
    <w:p>
      <w:pPr>
        <w:pStyle w:val="59"/>
        <w:ind w:firstLine="420" w:firstLineChars="200"/>
        <w:rPr>
          <w:rFonts w:hint="eastAsia"/>
        </w:rPr>
      </w:pPr>
      <w:r>
        <w:rPr>
          <w:rFonts w:hint="eastAsia"/>
        </w:rPr>
        <w:t>e）</w:t>
      </w:r>
      <w:r>
        <w:rPr>
          <w:rFonts w:hint="eastAsia"/>
        </w:rPr>
        <w:tab/>
      </w:r>
      <w:r>
        <w:rPr>
          <w:rFonts w:hint="eastAsia"/>
        </w:rPr>
        <w:t>可逆编码。采用密码或其他变换技术，将姓名转变成另外的字符，并保 持可逆特性。如使用密码和字符编码技术，使用“SGIHLIKHJ”代替“张 三丰”，或使用“Fzf”代替“Bob”。</w:t>
      </w:r>
    </w:p>
    <w:p>
      <w:pPr>
        <w:pStyle w:val="59"/>
        <w:ind w:firstLine="420" w:firstLineChars="200"/>
        <w:rPr>
          <w:rFonts w:hint="eastAsia"/>
        </w:rPr>
      </w:pPr>
      <w:r>
        <w:rPr>
          <w:rFonts w:hint="eastAsia"/>
        </w:rPr>
        <w:t>2</w:t>
      </w:r>
      <w:r>
        <w:rPr>
          <w:rFonts w:hint="eastAsia"/>
          <w:lang w:eastAsia="zh-CN"/>
        </w:rPr>
        <w:t>）</w:t>
      </w:r>
      <w:r>
        <w:rPr>
          <w:rFonts w:hint="eastAsia"/>
        </w:rPr>
        <w:t>地址的去标识化</w:t>
      </w:r>
    </w:p>
    <w:p>
      <w:pPr>
        <w:pStyle w:val="59"/>
        <w:ind w:firstLine="420" w:firstLineChars="200"/>
        <w:rPr>
          <w:rFonts w:hint="eastAsia"/>
        </w:rPr>
      </w:pPr>
      <w:r>
        <w:rPr>
          <w:rFonts w:hint="eastAsia"/>
        </w:rPr>
        <w:t>对于地址，常用的去标识化方法举例如下：</w:t>
      </w:r>
    </w:p>
    <w:p>
      <w:pPr>
        <w:pStyle w:val="59"/>
        <w:ind w:firstLine="420" w:firstLineChars="200"/>
        <w:rPr>
          <w:rFonts w:hint="eastAsia"/>
        </w:rPr>
      </w:pPr>
      <w:r>
        <w:rPr>
          <w:rFonts w:hint="eastAsia"/>
        </w:rPr>
        <w:t>a）</w:t>
      </w:r>
      <w:r>
        <w:rPr>
          <w:rFonts w:hint="eastAsia"/>
        </w:rPr>
        <w:tab/>
      </w:r>
      <w:r>
        <w:rPr>
          <w:rFonts w:hint="eastAsia"/>
        </w:rPr>
        <w:t>泛化编码。使用概括、抽象的符号来表示，如“江西省吉安市安福县” 使用“南方某地”或“J省”来代替。</w:t>
      </w:r>
    </w:p>
    <w:p>
      <w:pPr>
        <w:pStyle w:val="59"/>
        <w:ind w:firstLine="420" w:firstLineChars="200"/>
        <w:rPr>
          <w:rFonts w:hint="eastAsia"/>
        </w:rPr>
      </w:pPr>
      <w:r>
        <w:rPr>
          <w:rFonts w:hint="eastAsia"/>
        </w:rPr>
        <w:t>b）</w:t>
      </w:r>
      <w:r>
        <w:rPr>
          <w:rFonts w:hint="eastAsia"/>
        </w:rPr>
        <w:tab/>
      </w:r>
      <w:r>
        <w:rPr>
          <w:rFonts w:hint="eastAsia"/>
        </w:rPr>
        <w:t>抑制屏蔽。直接删除地址或使用统一的“*”来表示。如所有的地址都使用"****** ”代替。</w:t>
      </w:r>
    </w:p>
    <w:p>
      <w:pPr>
        <w:pStyle w:val="59"/>
        <w:ind w:firstLine="420" w:firstLineChars="200"/>
        <w:rPr>
          <w:rFonts w:hint="eastAsia"/>
        </w:rPr>
      </w:pPr>
      <w:r>
        <w:rPr>
          <w:rFonts w:hint="eastAsia"/>
        </w:rPr>
        <w:t>c）</w:t>
      </w:r>
      <w:r>
        <w:rPr>
          <w:rFonts w:hint="eastAsia"/>
        </w:rPr>
        <w:tab/>
      </w:r>
      <w:r>
        <w:rPr>
          <w:rFonts w:hint="eastAsia"/>
        </w:rPr>
        <w:t>部分屏蔽。屏蔽地址中的一部分，以保护地址信息。如使用“江西省XX 市XX县”来代替“江西省吉安市安福县”。</w:t>
      </w:r>
    </w:p>
    <w:p>
      <w:pPr>
        <w:pStyle w:val="59"/>
        <w:ind w:firstLine="420" w:firstLineChars="200"/>
        <w:rPr>
          <w:rFonts w:hint="eastAsia"/>
        </w:rPr>
      </w:pPr>
      <w:r>
        <w:rPr>
          <w:rFonts w:hint="eastAsia"/>
        </w:rPr>
        <w:t>d）</w:t>
      </w:r>
      <w:r>
        <w:rPr>
          <w:rFonts w:hint="eastAsia"/>
        </w:rPr>
        <w:tab/>
      </w:r>
      <w:r>
        <w:rPr>
          <w:rFonts w:hint="eastAsia"/>
        </w:rPr>
        <w:t>数据合成。采用重新产生的数据替代原地址数据，数据产生方法可以采 用确定性方法或随机性方法。如使用“黑龙江省鸡西市特铁县北京路23 号”代替“江西省吉安市安福县安平路1号”。</w:t>
      </w:r>
    </w:p>
    <w:p>
      <w:pPr>
        <w:pStyle w:val="59"/>
        <w:ind w:firstLine="420" w:firstLineChars="200"/>
        <w:rPr>
          <w:rFonts w:hint="eastAsia"/>
        </w:rPr>
      </w:pPr>
      <w:r>
        <w:rPr>
          <w:rFonts w:hint="eastAsia"/>
        </w:rPr>
        <w:t>3</w:t>
      </w:r>
      <w:r>
        <w:rPr>
          <w:rFonts w:hint="eastAsia"/>
          <w:lang w:eastAsia="zh-CN"/>
        </w:rPr>
        <w:t>）</w:t>
      </w:r>
      <w:r>
        <w:rPr>
          <w:rFonts w:hint="eastAsia"/>
        </w:rPr>
        <w:t>数值型标识符的去标识化</w:t>
      </w:r>
    </w:p>
    <w:p>
      <w:pPr>
        <w:pStyle w:val="59"/>
        <w:ind w:firstLine="420" w:firstLineChars="200"/>
        <w:rPr>
          <w:rFonts w:hint="eastAsia"/>
        </w:rPr>
      </w:pPr>
      <w:r>
        <w:rPr>
          <w:rFonts w:hint="eastAsia"/>
        </w:rPr>
        <w:t>常用的数值型标识符的去标识化包括：</w:t>
      </w:r>
    </w:p>
    <w:p>
      <w:pPr>
        <w:pStyle w:val="59"/>
        <w:ind w:firstLine="420" w:firstLineChars="200"/>
        <w:rPr>
          <w:rFonts w:hint="eastAsia"/>
        </w:rPr>
      </w:pPr>
      <w:r>
        <w:rPr>
          <w:rFonts w:hint="eastAsia"/>
        </w:rPr>
        <w:t>a）</w:t>
      </w:r>
      <w:r>
        <w:rPr>
          <w:rFonts w:hint="eastAsia"/>
        </w:rPr>
        <w:tab/>
      </w:r>
      <w:r>
        <w:rPr>
          <w:rFonts w:hint="eastAsia"/>
        </w:rPr>
        <w:t>泛化编码。使用概括、抽象的符号来表示，如“有四个人，他们分别是 蓝色、绿色和浅褐色的眼睛”来代替“有1个人是蓝色眼睛,2个人是绿色的眼睛，1个人是浅褐色的眼睛”。</w:t>
      </w:r>
    </w:p>
    <w:p>
      <w:pPr>
        <w:pStyle w:val="59"/>
        <w:ind w:firstLine="420" w:firstLineChars="200"/>
        <w:rPr>
          <w:rFonts w:hint="eastAsia"/>
        </w:rPr>
      </w:pPr>
      <w:r>
        <w:rPr>
          <w:rFonts w:hint="eastAsia"/>
        </w:rPr>
        <w:t>b）</w:t>
      </w:r>
      <w:r>
        <w:rPr>
          <w:rFonts w:hint="eastAsia"/>
        </w:rPr>
        <w:tab/>
      </w:r>
      <w:r>
        <w:rPr>
          <w:rFonts w:hint="eastAsia"/>
        </w:rPr>
        <w:t>抑制屏蔽。直接删除数值或使用统一的“*”来表示。如所有的数值都使 用"****"代替。</w:t>
      </w:r>
    </w:p>
    <w:p>
      <w:pPr>
        <w:pStyle w:val="59"/>
        <w:ind w:firstLine="420" w:firstLineChars="200"/>
        <w:rPr>
          <w:rFonts w:hint="eastAsia"/>
        </w:rPr>
      </w:pPr>
      <w:r>
        <w:rPr>
          <w:rFonts w:hint="eastAsia"/>
        </w:rPr>
        <w:t>c）</w:t>
      </w:r>
      <w:r>
        <w:rPr>
          <w:rFonts w:hint="eastAsia"/>
        </w:rPr>
        <w:tab/>
      </w:r>
      <w:r>
        <w:rPr>
          <w:rFonts w:hint="eastAsia"/>
        </w:rPr>
        <w:t>顶层和底层编码。大于或小于一个特定值的处理成某个固定值。例如，年龄超过70岁的一律用“大于70岁”描述，以保障满足此条件的人数多于20000人。</w:t>
      </w:r>
    </w:p>
    <w:p>
      <w:pPr>
        <w:pStyle w:val="59"/>
        <w:ind w:firstLine="420" w:firstLineChars="200"/>
        <w:rPr>
          <w:rFonts w:hint="eastAsia"/>
        </w:rPr>
      </w:pPr>
      <w:r>
        <w:rPr>
          <w:rFonts w:hint="eastAsia"/>
        </w:rPr>
        <w:t>d）</w:t>
      </w:r>
      <w:r>
        <w:rPr>
          <w:rFonts w:hint="eastAsia"/>
        </w:rPr>
        <w:tab/>
      </w:r>
      <w:r>
        <w:rPr>
          <w:rFonts w:hint="eastAsia"/>
        </w:rPr>
        <w:t>部分屏蔽。使用数值的高位部分代替原有数值，如百分制考试成绩全部 使用去掉个位数、保留十位数的数值代替。</w:t>
      </w:r>
    </w:p>
    <w:p>
      <w:pPr>
        <w:pStyle w:val="59"/>
        <w:ind w:firstLine="420" w:firstLineChars="200"/>
        <w:rPr>
          <w:rFonts w:hint="eastAsia"/>
        </w:rPr>
      </w:pPr>
      <w:r>
        <w:rPr>
          <w:rFonts w:hint="eastAsia"/>
        </w:rPr>
        <w:t>e）</w:t>
      </w:r>
      <w:r>
        <w:rPr>
          <w:rFonts w:hint="eastAsia"/>
        </w:rPr>
        <w:tab/>
      </w:r>
      <w:r>
        <w:rPr>
          <w:rFonts w:hint="eastAsia"/>
        </w:rPr>
        <w:t>记录交换。使用数据集中其他记录的相应数值代替本记录的数值。如设定规则，将记录集中的所有的身高数据取出并全部打乱位置后（其他属 性数据位置不变）放回原数据集中。这种方法可以保持数据集的统计特性不变。</w:t>
      </w:r>
    </w:p>
    <w:p>
      <w:pPr>
        <w:pStyle w:val="59"/>
        <w:ind w:firstLine="420" w:firstLineChars="200"/>
        <w:rPr>
          <w:rFonts w:hint="eastAsia"/>
        </w:rPr>
      </w:pPr>
      <w:r>
        <w:rPr>
          <w:rFonts w:hint="eastAsia"/>
        </w:rPr>
        <w:t>f）</w:t>
      </w:r>
      <w:r>
        <w:rPr>
          <w:rFonts w:hint="eastAsia"/>
        </w:rPr>
        <w:tab/>
      </w:r>
      <w:r>
        <w:rPr>
          <w:rFonts w:hint="eastAsia"/>
        </w:rPr>
        <w:t>噪声添加。相对原始数据，产生微小的随机数，将其加到原始数值上并 代替原始数值。如对于身高1.72m，产生随机数值-0.11 m,加到原始数值后将其变为1.61m。</w:t>
      </w:r>
    </w:p>
    <w:p>
      <w:pPr>
        <w:pStyle w:val="59"/>
        <w:ind w:firstLine="420" w:firstLineChars="200"/>
        <w:rPr>
          <w:rFonts w:hint="eastAsia"/>
        </w:rPr>
      </w:pPr>
      <w:r>
        <w:rPr>
          <w:rFonts w:hint="eastAsia"/>
        </w:rPr>
        <w:t>g）</w:t>
      </w:r>
      <w:r>
        <w:rPr>
          <w:rFonts w:hint="eastAsia"/>
        </w:rPr>
        <w:tab/>
      </w:r>
      <w:r>
        <w:rPr>
          <w:rFonts w:hint="eastAsia"/>
        </w:rPr>
        <w:t>数据合成。采用重新产生的数据替代原始数据，数据产生方法可以采用 确定性方法或随机性方法。如使用“19”岁年龄代替“45”岁年龄。</w:t>
      </w:r>
    </w:p>
    <w:p>
      <w:pPr>
        <w:pStyle w:val="59"/>
        <w:ind w:firstLine="420" w:firstLineChars="200"/>
        <w:rPr>
          <w:rFonts w:hint="eastAsia"/>
        </w:rPr>
      </w:pPr>
      <w:r>
        <w:rPr>
          <w:rFonts w:hint="eastAsia"/>
        </w:rPr>
        <w:t>4</w:t>
      </w:r>
      <w:r>
        <w:rPr>
          <w:rFonts w:hint="eastAsia"/>
          <w:lang w:eastAsia="zh-CN"/>
        </w:rPr>
        <w:t>）</w:t>
      </w:r>
      <w:r>
        <w:rPr>
          <w:rFonts w:hint="eastAsia"/>
        </w:rPr>
        <w:t>日期的去标识化</w:t>
      </w:r>
    </w:p>
    <w:p>
      <w:pPr>
        <w:pStyle w:val="59"/>
        <w:ind w:firstLine="420" w:firstLineChars="200"/>
        <w:rPr>
          <w:rFonts w:hint="eastAsia"/>
        </w:rPr>
      </w:pPr>
      <w:r>
        <w:rPr>
          <w:rFonts w:hint="eastAsia"/>
        </w:rPr>
        <w:t>在数据集中，日期有多种存在形式，包括出生日期、开始日期、纪念日等。 常见的对日期的去标识化，方法包括：</w:t>
      </w:r>
    </w:p>
    <w:p>
      <w:pPr>
        <w:pStyle w:val="59"/>
        <w:ind w:firstLine="420" w:firstLineChars="200"/>
        <w:rPr>
          <w:rFonts w:hint="eastAsia"/>
        </w:rPr>
      </w:pPr>
      <w:r>
        <w:rPr>
          <w:rFonts w:hint="eastAsia"/>
        </w:rPr>
        <w:t>a）</w:t>
      </w:r>
      <w:r>
        <w:rPr>
          <w:rFonts w:hint="eastAsia"/>
        </w:rPr>
        <w:tab/>
      </w:r>
      <w:r>
        <w:rPr>
          <w:rFonts w:hint="eastAsia"/>
        </w:rPr>
        <w:t>泛化编码。使用概括、抽象的日期来表示，如使用1880年代替1880年1 月1日。</w:t>
      </w:r>
    </w:p>
    <w:p>
      <w:pPr>
        <w:pStyle w:val="59"/>
        <w:ind w:firstLine="420" w:firstLineChars="200"/>
        <w:rPr>
          <w:rFonts w:hint="eastAsia"/>
        </w:rPr>
      </w:pPr>
      <w:r>
        <w:rPr>
          <w:rFonts w:hint="eastAsia"/>
        </w:rPr>
        <w:t>b）</w:t>
      </w:r>
      <w:r>
        <w:rPr>
          <w:rFonts w:hint="eastAsia"/>
        </w:rPr>
        <w:tab/>
      </w:r>
      <w:r>
        <w:rPr>
          <w:rFonts w:hint="eastAsia"/>
        </w:rPr>
        <w:t>抑制屏蔽。直接删除日期数据或使用统一的“*”来表示。如所有的数值</w:t>
      </w:r>
    </w:p>
    <w:p>
      <w:pPr>
        <w:pStyle w:val="59"/>
        <w:ind w:firstLine="420" w:firstLineChars="200"/>
        <w:rPr>
          <w:rFonts w:hint="eastAsia"/>
        </w:rPr>
      </w:pPr>
      <w:r>
        <w:rPr>
          <w:rFonts w:hint="eastAsia"/>
        </w:rPr>
        <w:t>都使用“某年某日”代替。</w:t>
      </w:r>
    </w:p>
    <w:p>
      <w:pPr>
        <w:pStyle w:val="59"/>
        <w:ind w:firstLine="420" w:firstLineChars="200"/>
        <w:rPr>
          <w:rFonts w:hint="eastAsia"/>
        </w:rPr>
      </w:pPr>
      <w:r>
        <w:rPr>
          <w:rFonts w:hint="eastAsia"/>
        </w:rPr>
        <w:t>c）</w:t>
      </w:r>
      <w:r>
        <w:rPr>
          <w:rFonts w:hint="eastAsia"/>
        </w:rPr>
        <w:tab/>
      </w:r>
      <w:r>
        <w:rPr>
          <w:rFonts w:hint="eastAsia"/>
        </w:rPr>
        <w:t>部分屏蔽。对日期中的一部分做屏蔽，如1880年某月1日代替1880年1 月1日。</w:t>
      </w:r>
    </w:p>
    <w:p>
      <w:pPr>
        <w:pStyle w:val="59"/>
        <w:ind w:firstLine="420" w:firstLineChars="200"/>
        <w:rPr>
          <w:rFonts w:hint="eastAsia"/>
        </w:rPr>
      </w:pPr>
      <w:r>
        <w:rPr>
          <w:rFonts w:hint="eastAsia"/>
        </w:rPr>
        <w:t>d）</w:t>
      </w:r>
      <w:r>
        <w:rPr>
          <w:rFonts w:hint="eastAsia"/>
        </w:rPr>
        <w:tab/>
      </w:r>
      <w:r>
        <w:rPr>
          <w:rFonts w:hint="eastAsia"/>
        </w:rPr>
        <w:t>记录交换。使用数据集中其他记录的相应数值代替本记录的数值。如设定规则，将记录集中的所有的日期数据取出并全部打乱位置后（其他属性数据位置不变）放回到原数据集中。这种方法有利于保持数据集的统计特性。</w:t>
      </w:r>
    </w:p>
    <w:p>
      <w:pPr>
        <w:pStyle w:val="59"/>
        <w:ind w:firstLine="420" w:firstLineChars="200"/>
        <w:rPr>
          <w:rFonts w:hint="eastAsia"/>
        </w:rPr>
      </w:pPr>
      <w:r>
        <w:rPr>
          <w:rFonts w:hint="eastAsia"/>
        </w:rPr>
        <w:t>e）</w:t>
      </w:r>
      <w:r>
        <w:rPr>
          <w:rFonts w:hint="eastAsia"/>
        </w:rPr>
        <w:tab/>
      </w:r>
      <w:r>
        <w:rPr>
          <w:rFonts w:hint="eastAsia"/>
        </w:rPr>
        <w:t>噪声添加。相对原始数据，产生微小的随机数，将其加到原始数值上并 代替原始数值。如对于出生日期1880年1月1日，产生随数值32天，加到原始数值后将其变为1880年2月2日。</w:t>
      </w:r>
    </w:p>
    <w:p>
      <w:pPr>
        <w:pStyle w:val="59"/>
        <w:ind w:firstLine="420" w:firstLineChars="200"/>
        <w:rPr>
          <w:rFonts w:hint="eastAsia"/>
        </w:rPr>
      </w:pPr>
      <w:r>
        <w:rPr>
          <w:rFonts w:hint="eastAsia"/>
        </w:rPr>
        <w:t>f）</w:t>
      </w:r>
      <w:r>
        <w:rPr>
          <w:rFonts w:hint="eastAsia"/>
        </w:rPr>
        <w:tab/>
      </w:r>
      <w:r>
        <w:rPr>
          <w:rFonts w:hint="eastAsia"/>
        </w:rPr>
        <w:t>数据合成。采用重新产生的数据替代原日期数据，如使用“1972年8月 12日”代替“1880年1月1日”。</w:t>
      </w:r>
    </w:p>
    <w:p>
      <w:pPr>
        <w:pStyle w:val="202"/>
        <w:rPr>
          <w:vanish w:val="0"/>
        </w:rPr>
      </w:pPr>
    </w:p>
    <w:bookmarkEnd w:id="54"/>
    <w:p>
      <w:pPr>
        <w:pStyle w:val="66"/>
        <w:spacing w:before="96" w:after="120"/>
      </w:pPr>
      <w:bookmarkStart w:id="60" w:name="_Toc80193028"/>
      <w:bookmarkStart w:id="61" w:name="_Toc93077088"/>
      <w:bookmarkStart w:id="62" w:name="BookMark6"/>
      <w:r>
        <w:rPr>
          <w:rFonts w:hint="eastAsia"/>
          <w:spacing w:val="105"/>
        </w:rPr>
        <w:t>参考文</w:t>
      </w:r>
      <w:r>
        <w:rPr>
          <w:rFonts w:hint="eastAsia"/>
        </w:rPr>
        <w:t>献</w:t>
      </w:r>
      <w:bookmarkEnd w:id="60"/>
      <w:bookmarkEnd w:id="61"/>
    </w:p>
    <w:p>
      <w:pPr>
        <w:pStyle w:val="59"/>
        <w:ind w:firstLine="420"/>
      </w:pPr>
      <w:r>
        <w:rPr>
          <w:rFonts w:hint="eastAsia"/>
        </w:rPr>
        <w:t>[1]国家心血管病中心. 中国心血管病报告2018 [M]. 北京: 中国大百科全书出版社,2019.</w:t>
      </w:r>
    </w:p>
    <w:p>
      <w:pPr>
        <w:pStyle w:val="59"/>
        <w:ind w:firstLine="420"/>
        <w:rPr>
          <w:rFonts w:hint="eastAsia"/>
        </w:rPr>
      </w:pPr>
      <w:r>
        <w:rPr>
          <w:rFonts w:hint="eastAsia"/>
        </w:rPr>
        <w:t>[2]国家药品监督管理局医疗器械技术审评中心. 深度学习辅助决策医疗器械软件审评要点[Z], 2019.</w:t>
      </w:r>
    </w:p>
    <w:p>
      <w:pPr>
        <w:pStyle w:val="59"/>
        <w:ind w:firstLine="420"/>
        <w:rPr>
          <w:rFonts w:hint="eastAsia"/>
        </w:rPr>
      </w:pPr>
      <w:r>
        <w:rPr>
          <w:rFonts w:hint="eastAsia"/>
        </w:rPr>
        <w:t xml:space="preserve">[3]Wang Z, Chen Z, Zhang L, et al. Status of hypertension in China: results from the China hypertension survey, 2012‐2015[J]. Circulation, 2018, 137(22): 2344‐2356. </w:t>
      </w:r>
    </w:p>
    <w:p>
      <w:pPr>
        <w:pStyle w:val="59"/>
        <w:ind w:firstLine="420"/>
        <w:rPr>
          <w:rFonts w:hint="eastAsia"/>
        </w:rPr>
      </w:pPr>
      <w:r>
        <w:rPr>
          <w:rFonts w:hint="eastAsia"/>
        </w:rPr>
        <w:t>[4]Su M, Zhang Q, Bai X, et al. Availability, cost, and prescription patterns of antihypertensive medications in primary health care in China: a nationwide cross‐sectional survey [J]. Lancet, 2017,39</w:t>
      </w:r>
    </w:p>
    <w:p>
      <w:pPr>
        <w:pStyle w:val="59"/>
        <w:ind w:firstLine="420"/>
        <w:rPr>
          <w:rFonts w:hint="eastAsia"/>
        </w:rPr>
      </w:pPr>
      <w:r>
        <w:rPr>
          <w:rFonts w:hint="eastAsia"/>
        </w:rPr>
        <w:t>[5]刘明波，李镒冲，刘世炜，等．2010年中国人群高血压疾病负担[J].中华流行病学杂志,2014,35(6):680-683.</w:t>
      </w:r>
    </w:p>
    <w:p>
      <w:pPr>
        <w:pStyle w:val="59"/>
        <w:ind w:firstLine="420"/>
        <w:rPr>
          <w:rFonts w:hint="eastAsia"/>
        </w:rPr>
      </w:pPr>
      <w:r>
        <w:rPr>
          <w:rFonts w:hint="eastAsia"/>
        </w:rPr>
        <w:t>[6]中国高血压防治指南修订委员会．中国高血压防治指南（2018年修订版）[J]中国心血管杂志，2019,24(1):24-56.</w:t>
      </w:r>
    </w:p>
    <w:p>
      <w:pPr>
        <w:pStyle w:val="59"/>
        <w:ind w:firstLine="420"/>
        <w:rPr>
          <w:rFonts w:hint="eastAsia"/>
        </w:rPr>
      </w:pPr>
      <w:r>
        <w:rPr>
          <w:rFonts w:hint="eastAsia"/>
        </w:rPr>
        <w:t>[7]Sandström YK, Ljunggren G, Wändell P, et al. Psychiatric comorbidities in patients with hypertension‐‐a study of registered diagnoses 2009‐2013 in the total population in Stockholm County,Sweden[J]. J Hypertens, 2016, 34(3): 414‐420; discussion 420.</w:t>
      </w:r>
    </w:p>
    <w:p>
      <w:pPr>
        <w:pStyle w:val="59"/>
        <w:ind w:firstLine="420"/>
        <w:rPr>
          <w:rFonts w:hint="eastAsia"/>
        </w:rPr>
      </w:pPr>
      <w:r>
        <w:rPr>
          <w:rFonts w:hint="eastAsia"/>
        </w:rPr>
        <w:t>[8]Bautista LE, Vera‐Cala LM, Colombo C, et al. Symptoms of depression and anxiety and adherence to antihypertensive medication[J]. Am J Hypertens, 2012, 25(4): 505‐511.</w:t>
      </w:r>
    </w:p>
    <w:p>
      <w:pPr>
        <w:pStyle w:val="59"/>
        <w:ind w:firstLine="420"/>
        <w:rPr>
          <w:rFonts w:hint="eastAsia"/>
        </w:rPr>
      </w:pPr>
      <w:r>
        <w:rPr>
          <w:rFonts w:hint="eastAsia"/>
        </w:rPr>
        <w:t xml:space="preserve">[9]Piercy KL, Troiano RP, Ballard RM, et al. The physical activity guidelines for Americans[J]. JAMA, 2018, 320(19): 2020‐2028. </w:t>
      </w:r>
    </w:p>
    <w:p>
      <w:pPr>
        <w:pStyle w:val="59"/>
        <w:ind w:firstLine="420"/>
      </w:pPr>
      <w:r>
        <w:rPr>
          <w:rFonts w:hint="eastAsia"/>
        </w:rPr>
        <w:t>[</w:t>
      </w:r>
      <w:r>
        <w:rPr>
          <w:rFonts w:hint="eastAsia"/>
          <w:lang w:val="en-US" w:eastAsia="zh-CN"/>
        </w:rPr>
        <w:t>10</w:t>
      </w:r>
      <w:r>
        <w:rPr>
          <w:rFonts w:hint="eastAsia"/>
        </w:rPr>
        <w:t>]国家药品监督管理局医疗器械技术审评中心. 人工智能医疗器械注册审查指导原则（征求意见稿）[Z], 2021.</w:t>
      </w:r>
    </w:p>
    <w:p>
      <w:pPr>
        <w:pStyle w:val="59"/>
        <w:ind w:firstLine="420"/>
      </w:pPr>
      <w:r>
        <w:t>[1</w:t>
      </w:r>
      <w:r>
        <w:rPr>
          <w:rFonts w:hint="eastAsia"/>
          <w:lang w:val="en-US" w:eastAsia="zh-CN"/>
        </w:rPr>
        <w:t>1</w:t>
      </w:r>
      <w:r>
        <w:t>]</w:t>
      </w:r>
      <w:r>
        <w:rPr>
          <w:rFonts w:hint="eastAsia"/>
        </w:rPr>
        <w:t>中国食品药品检定研究院</w:t>
      </w:r>
      <w:r>
        <w:t xml:space="preserve">. </w:t>
      </w:r>
      <w:r>
        <w:rPr>
          <w:rFonts w:hint="eastAsia"/>
        </w:rPr>
        <w:t>人工智能医疗器械质量要求和评价 第1部分：术语(报批稿)，2</w:t>
      </w:r>
      <w:r>
        <w:t>020.</w:t>
      </w:r>
    </w:p>
    <w:p>
      <w:pPr>
        <w:pStyle w:val="59"/>
        <w:ind w:firstLine="420"/>
      </w:pPr>
      <w:r>
        <w:rPr>
          <w:rFonts w:hint="eastAsia"/>
        </w:rPr>
        <w:t>[</w:t>
      </w:r>
      <w:r>
        <w:t>1</w:t>
      </w:r>
      <w:r>
        <w:rPr>
          <w:rFonts w:hint="eastAsia"/>
          <w:lang w:val="en-US" w:eastAsia="zh-CN"/>
        </w:rPr>
        <w:t>2</w:t>
      </w:r>
      <w:r>
        <w:t>]</w:t>
      </w:r>
      <w:r>
        <w:rPr>
          <w:rFonts w:hint="eastAsia"/>
        </w:rPr>
        <w:t>中国食品药品检定研究院.</w:t>
      </w:r>
      <w:r>
        <w:t xml:space="preserve"> </w:t>
      </w:r>
      <w:r>
        <w:rPr>
          <w:rFonts w:hint="eastAsia"/>
        </w:rPr>
        <w:t>人工智能医疗器械质量要求和评价 第2部分：数据集通用要求(报批稿)，2</w:t>
      </w:r>
      <w:r>
        <w:t>020.</w:t>
      </w:r>
    </w:p>
    <w:p>
      <w:pPr>
        <w:pStyle w:val="59"/>
        <w:ind w:firstLine="420"/>
      </w:pPr>
      <w:r>
        <w:rPr>
          <w:rFonts w:hint="eastAsia"/>
        </w:rPr>
        <w:t>[</w:t>
      </w:r>
      <w:r>
        <w:t>1</w:t>
      </w:r>
      <w:r>
        <w:rPr>
          <w:rFonts w:hint="eastAsia"/>
          <w:lang w:val="en-US" w:eastAsia="zh-CN"/>
        </w:rPr>
        <w:t>3</w:t>
      </w:r>
      <w:r>
        <w:t>]</w:t>
      </w:r>
      <w:r>
        <w:rPr>
          <w:rFonts w:hint="eastAsia"/>
        </w:rPr>
        <w:t>人工智能医疗器械质量要求和评价 第3部分：数据标注通用要求(征求意见稿)</w:t>
      </w:r>
    </w:p>
    <w:bookmarkEnd w:id="62"/>
    <w:p>
      <w:pPr>
        <w:pStyle w:val="59"/>
        <w:ind w:firstLine="0" w:firstLineChars="0"/>
        <w:jc w:val="both"/>
      </w:pPr>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pict>
        <v:shape id="PowerPlusWaterMarkObject87827" o:spid="_x0000_s1027" o:spt="136" type="#_x0000_t136" style="position:absolute;left:0pt;height:189.5pt;width:491.9pt;mso-position-horizontal:center;mso-position-horizontal-relative:margin;mso-position-vertical:center;mso-position-vertical-relative:margin;rotation:20643840f;z-index:-251655168;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r>
      <w:rPr>
        <w:sz w:val="2"/>
      </w:rPr>
      <w:pict>
        <v:shape id="PowerPlusWaterMarkObject121001" o:spid="_x0000_s1026" o:spt="136" type="#_x0000_t136" style="position:absolute;left:0pt;height:189.5pt;width:491.9pt;mso-position-horizontal:center;mso-position-horizontal-relative:margin;mso-position-vertical:center;mso-position-vertical-relative:margin;rotation:20643840f;z-index:-251654144;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pict>
        <v:shape id="PowerPlusWaterMarkObject131435" o:spid="_x0000_s1025" o:spt="136" type="#_x0000_t136" style="position:absolute;left:0pt;height:189.5pt;width:491.9pt;mso-position-horizontal:center;mso-position-horizontal-relative:margin;mso-position-vertical:center;mso-position-vertical-relative:margin;rotation:20643840f;z-index:-251653120;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r>
      <w:fldChar w:fldCharType="begin"/>
    </w:r>
    <w:r>
      <w:instrText xml:space="preserve"> STYLEREF  标准文件_文件编号  \* MERGEFORMAT </w:instrText>
    </w:r>
    <w:r>
      <w:fldChar w:fldCharType="separate"/>
    </w:r>
    <w:r>
      <w:t>T/CSBME 050—2022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T/CSBME 050—2022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113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yZWEzNTU1NzZhNDUzN2RjODQzODA5MjFjMGI3YzM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070"/>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A793F"/>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753B"/>
    <w:rsid w:val="000E4C9E"/>
    <w:rsid w:val="000E6FD7"/>
    <w:rsid w:val="000F06E1"/>
    <w:rsid w:val="000F0E3C"/>
    <w:rsid w:val="000F0F0D"/>
    <w:rsid w:val="000F19D5"/>
    <w:rsid w:val="000F4050"/>
    <w:rsid w:val="000F4AEA"/>
    <w:rsid w:val="000F67E9"/>
    <w:rsid w:val="00104926"/>
    <w:rsid w:val="0010642B"/>
    <w:rsid w:val="001113FA"/>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208"/>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4869"/>
    <w:rsid w:val="00405626"/>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48CC"/>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1528"/>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19E"/>
    <w:rsid w:val="00840617"/>
    <w:rsid w:val="00840F84"/>
    <w:rsid w:val="00842A47"/>
    <w:rsid w:val="00843C13"/>
    <w:rsid w:val="008454F8"/>
    <w:rsid w:val="00847019"/>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219C"/>
    <w:rsid w:val="008C475E"/>
    <w:rsid w:val="008C619A"/>
    <w:rsid w:val="008C69F0"/>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1693"/>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1E9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7B7"/>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0E5C"/>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52D78"/>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4621"/>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AF92CF4"/>
    <w:rsid w:val="0DF50570"/>
    <w:rsid w:val="0ED95A79"/>
    <w:rsid w:val="11347978"/>
    <w:rsid w:val="11966CF2"/>
    <w:rsid w:val="196838E6"/>
    <w:rsid w:val="1F843502"/>
    <w:rsid w:val="20C279D4"/>
    <w:rsid w:val="2C4647F2"/>
    <w:rsid w:val="30630906"/>
    <w:rsid w:val="32BC0A3F"/>
    <w:rsid w:val="34D00F8D"/>
    <w:rsid w:val="38FC1999"/>
    <w:rsid w:val="3A581A09"/>
    <w:rsid w:val="3A8327B1"/>
    <w:rsid w:val="3E887BAB"/>
    <w:rsid w:val="407C4056"/>
    <w:rsid w:val="42240AD1"/>
    <w:rsid w:val="42B65884"/>
    <w:rsid w:val="46725FFF"/>
    <w:rsid w:val="4FE86CBC"/>
    <w:rsid w:val="58D2309A"/>
    <w:rsid w:val="68EC6B11"/>
    <w:rsid w:val="6F4C641B"/>
    <w:rsid w:val="726C367A"/>
    <w:rsid w:val="73CB466F"/>
    <w:rsid w:val="76C577FD"/>
    <w:rsid w:val="775F045E"/>
    <w:rsid w:val="7A59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7"/>
    <w:semiHidden/>
    <w:unhideWhenUsed/>
    <w:qFormat/>
    <w:uiPriority w:val="99"/>
    <w:rPr>
      <w:b/>
      <w:bCs/>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Heading 1 Char"/>
    <w:link w:val="2"/>
    <w:qFormat/>
    <w:uiPriority w:val="0"/>
    <w:rPr>
      <w:rFonts w:ascii="Times New Roman" w:hAnsi="Times New Roman" w:eastAsia="宋体" w:cs="Times New Roman"/>
      <w:b/>
      <w:bCs/>
      <w:kern w:val="44"/>
      <w:sz w:val="44"/>
      <w:szCs w:val="44"/>
    </w:rPr>
  </w:style>
  <w:style w:type="character" w:customStyle="1" w:styleId="38">
    <w:name w:val="Heading 2 Char"/>
    <w:link w:val="3"/>
    <w:qFormat/>
    <w:uiPriority w:val="0"/>
    <w:rPr>
      <w:rFonts w:ascii="Arial" w:hAnsi="Arial" w:eastAsia="黑体" w:cs="Times New Roman"/>
      <w:b/>
      <w:bCs/>
      <w:sz w:val="32"/>
      <w:szCs w:val="32"/>
    </w:rPr>
  </w:style>
  <w:style w:type="character" w:customStyle="1" w:styleId="39">
    <w:name w:val="Heading 3 Char"/>
    <w:link w:val="4"/>
    <w:qFormat/>
    <w:uiPriority w:val="0"/>
    <w:rPr>
      <w:rFonts w:ascii="Times New Roman" w:hAnsi="Times New Roman" w:eastAsia="宋体" w:cs="Times New Roman"/>
      <w:b/>
      <w:bCs/>
      <w:sz w:val="32"/>
      <w:szCs w:val="32"/>
    </w:rPr>
  </w:style>
  <w:style w:type="character" w:customStyle="1" w:styleId="40">
    <w:name w:val="Heading 4 Char"/>
    <w:link w:val="5"/>
    <w:qFormat/>
    <w:uiPriority w:val="0"/>
    <w:rPr>
      <w:rFonts w:ascii="Arial" w:hAnsi="Arial" w:eastAsia="黑体" w:cs="Times New Roman"/>
      <w:b/>
      <w:bCs/>
      <w:sz w:val="28"/>
      <w:szCs w:val="28"/>
    </w:rPr>
  </w:style>
  <w:style w:type="character" w:customStyle="1" w:styleId="41">
    <w:name w:val="Heading 5 Char"/>
    <w:link w:val="6"/>
    <w:qFormat/>
    <w:uiPriority w:val="0"/>
    <w:rPr>
      <w:rFonts w:ascii="Times New Roman" w:hAnsi="Times New Roman" w:eastAsia="宋体" w:cs="Times New Roman"/>
      <w:b/>
      <w:bCs/>
      <w:sz w:val="28"/>
      <w:szCs w:val="28"/>
    </w:rPr>
  </w:style>
  <w:style w:type="character" w:customStyle="1" w:styleId="42">
    <w:name w:val="Heading 6 Char"/>
    <w:link w:val="7"/>
    <w:qFormat/>
    <w:uiPriority w:val="0"/>
    <w:rPr>
      <w:rFonts w:ascii="Arial" w:hAnsi="Arial" w:eastAsia="黑体" w:cs="Times New Roman"/>
      <w:b/>
      <w:bCs/>
      <w:sz w:val="24"/>
      <w:szCs w:val="24"/>
    </w:rPr>
  </w:style>
  <w:style w:type="character" w:customStyle="1" w:styleId="43">
    <w:name w:val="Heading 7 Char"/>
    <w:link w:val="8"/>
    <w:qFormat/>
    <w:uiPriority w:val="0"/>
    <w:rPr>
      <w:rFonts w:ascii="Times New Roman" w:hAnsi="Times New Roman" w:eastAsia="宋体" w:cs="Times New Roman"/>
      <w:b/>
      <w:bCs/>
      <w:sz w:val="24"/>
      <w:szCs w:val="24"/>
    </w:rPr>
  </w:style>
  <w:style w:type="character" w:customStyle="1" w:styleId="44">
    <w:name w:val="Heading 8 Char"/>
    <w:link w:val="9"/>
    <w:qFormat/>
    <w:uiPriority w:val="0"/>
    <w:rPr>
      <w:rFonts w:ascii="Arial" w:hAnsi="Arial" w:eastAsia="黑体" w:cs="Times New Roman"/>
      <w:sz w:val="24"/>
      <w:szCs w:val="24"/>
    </w:rPr>
  </w:style>
  <w:style w:type="character" w:customStyle="1" w:styleId="45">
    <w:name w:val="Heading 9 Char"/>
    <w:link w:val="10"/>
    <w:qFormat/>
    <w:uiPriority w:val="0"/>
    <w:rPr>
      <w:rFonts w:ascii="Arial" w:hAnsi="Arial" w:eastAsia="黑体" w:cs="Times New Roman"/>
      <w:szCs w:val="21"/>
    </w:rPr>
  </w:style>
  <w:style w:type="character" w:customStyle="1" w:styleId="46">
    <w:name w:val="Header Char"/>
    <w:link w:val="19"/>
    <w:qFormat/>
    <w:uiPriority w:val="99"/>
    <w:rPr>
      <w:rFonts w:ascii="Times New Roman" w:hAnsi="Times New Roman" w:eastAsia="宋体" w:cs="Times New Roman"/>
      <w:sz w:val="18"/>
      <w:szCs w:val="18"/>
    </w:rPr>
  </w:style>
  <w:style w:type="character" w:customStyle="1" w:styleId="47">
    <w:name w:val="Footer Char"/>
    <w:link w:val="18"/>
    <w:qFormat/>
    <w:uiPriority w:val="99"/>
    <w:rPr>
      <w:rFonts w:ascii="宋体" w:hAnsi="Times New Roman" w:eastAsia="宋体" w:cs="Times New Roman"/>
      <w:sz w:val="18"/>
      <w:szCs w:val="18"/>
    </w:rPr>
  </w:style>
  <w:style w:type="character" w:customStyle="1" w:styleId="48">
    <w:name w:val="Balloon Text Char"/>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Quote Char"/>
    <w:link w:val="49"/>
    <w:qFormat/>
    <w:uiPriority w:val="29"/>
    <w:rPr>
      <w:i/>
      <w:iCs/>
      <w:color w:val="000000"/>
    </w:rPr>
  </w:style>
  <w:style w:type="character" w:customStyle="1" w:styleId="51">
    <w:name w:val="Title Char"/>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Body Text Char"/>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Footnote Text Char"/>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ind w:left="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段"/>
    <w:basedOn w:val="1"/>
    <w:link w:val="234"/>
    <w:qFormat/>
    <w:uiPriority w:val="0"/>
    <w:pPr>
      <w:spacing w:line="240" w:lineRule="auto"/>
      <w:ind w:firstLine="420" w:firstLineChars="200"/>
    </w:pPr>
    <w:rPr>
      <w:rFonts w:ascii="Times New Roman" w:hAnsi="Times New Roman" w:cs="Calibri"/>
    </w:rPr>
  </w:style>
  <w:style w:type="character" w:customStyle="1" w:styleId="234">
    <w:name w:val="段 字符"/>
    <w:basedOn w:val="30"/>
    <w:link w:val="233"/>
    <w:qFormat/>
    <w:uiPriority w:val="0"/>
    <w:rPr>
      <w:rFonts w:ascii="Times New Roman" w:hAnsi="Times New Roman" w:cs="Calibri"/>
      <w:kern w:val="2"/>
      <w:sz w:val="21"/>
      <w:szCs w:val="21"/>
    </w:rPr>
  </w:style>
  <w:style w:type="paragraph" w:customStyle="1" w:styleId="235">
    <w:name w:val="Revision1"/>
    <w:hidden/>
    <w:semiHidden/>
    <w:qFormat/>
    <w:uiPriority w:val="99"/>
    <w:rPr>
      <w:rFonts w:ascii="Calibri" w:hAnsi="Calibri" w:eastAsia="宋体" w:cs="Times New Roman"/>
      <w:kern w:val="2"/>
      <w:sz w:val="21"/>
      <w:szCs w:val="21"/>
      <w:lang w:val="en-US" w:eastAsia="zh-CN" w:bidi="ar-SA"/>
    </w:rPr>
  </w:style>
  <w:style w:type="character" w:customStyle="1" w:styleId="236">
    <w:name w:val="Comment Text Char"/>
    <w:basedOn w:val="30"/>
    <w:link w:val="13"/>
    <w:qFormat/>
    <w:uiPriority w:val="99"/>
    <w:rPr>
      <w:kern w:val="2"/>
      <w:sz w:val="21"/>
      <w:szCs w:val="21"/>
    </w:rPr>
  </w:style>
  <w:style w:type="character" w:customStyle="1" w:styleId="237">
    <w:name w:val="Comment Subject Char"/>
    <w:basedOn w:val="236"/>
    <w:link w:val="27"/>
    <w:semiHidden/>
    <w:qFormat/>
    <w:uiPriority w:val="99"/>
    <w:rPr>
      <w:b/>
      <w:bCs/>
      <w:kern w:val="2"/>
      <w:sz w:val="21"/>
      <w:szCs w:val="21"/>
    </w:rPr>
  </w:style>
  <w:style w:type="character" w:customStyle="1" w:styleId="238">
    <w:name w:val="批注文字 Char"/>
    <w:basedOn w:val="30"/>
    <w:semiHidden/>
    <w:qFormat/>
    <w:uiPriority w:val="99"/>
    <w:rPr>
      <w:kern w:val="2"/>
      <w:sz w:val="21"/>
      <w:szCs w:val="21"/>
    </w:rPr>
  </w:style>
  <w:style w:type="paragraph" w:customStyle="1" w:styleId="239">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8A6A7C7E044B769DF5DD033C66DD3E"/>
        <w:style w:val=""/>
        <w:category>
          <w:name w:val="常规"/>
          <w:gallery w:val="placeholder"/>
        </w:category>
        <w:types>
          <w:type w:val="bbPlcHdr"/>
        </w:types>
        <w:behaviors>
          <w:behavior w:val="content"/>
        </w:behaviors>
        <w:description w:val=""/>
        <w:guid w:val="{03DE925C-8D76-4A0D-BD7B-49722B0E6E11}"/>
      </w:docPartPr>
      <w:docPartBody>
        <w:p>
          <w:pPr>
            <w:pStyle w:val="5"/>
          </w:pPr>
          <w:r>
            <w:rPr>
              <w:rStyle w:val="4"/>
              <w:rFonts w:hint="eastAsia"/>
            </w:rPr>
            <w:t>单击或点击此处输入文字。</w:t>
          </w:r>
        </w:p>
      </w:docPartBody>
    </w:docPart>
    <w:docPart>
      <w:docPartPr>
        <w:name w:val="EFA7950F216D4DFF8C3454823B9F24F9"/>
        <w:style w:val=""/>
        <w:category>
          <w:name w:val="常规"/>
          <w:gallery w:val="placeholder"/>
        </w:category>
        <w:types>
          <w:type w:val="bbPlcHdr"/>
        </w:types>
        <w:behaviors>
          <w:behavior w:val="content"/>
        </w:behaviors>
        <w:description w:val=""/>
        <w:guid w:val="{0023F7F9-42CE-4078-8E91-075555EB07B2}"/>
      </w:docPartPr>
      <w:docPartBody>
        <w:p>
          <w:pPr>
            <w:pStyle w:val="6"/>
          </w:pPr>
          <w:r>
            <w:rPr>
              <w:rStyle w:val="4"/>
              <w:rFonts w:hint="eastAsia"/>
            </w:rPr>
            <w:t>选择一项。</w:t>
          </w:r>
        </w:p>
      </w:docPartBody>
    </w:docPart>
    <w:docPart>
      <w:docPartPr>
        <w:name w:val="32394A53A28749C59EADAC5A1C4EE9A3"/>
        <w:style w:val=""/>
        <w:category>
          <w:name w:val="常规"/>
          <w:gallery w:val="placeholder"/>
        </w:category>
        <w:types>
          <w:type w:val="bbPlcHdr"/>
        </w:types>
        <w:behaviors>
          <w:behavior w:val="content"/>
        </w:behaviors>
        <w:description w:val=""/>
        <w:guid w:val="{8E2AF9CB-12F5-4FE6-8FA4-850BED0661C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9"/>
    <w:rsid w:val="00007404"/>
    <w:rsid w:val="00052489"/>
    <w:rsid w:val="000D5096"/>
    <w:rsid w:val="00130740"/>
    <w:rsid w:val="001410D4"/>
    <w:rsid w:val="001E4DA0"/>
    <w:rsid w:val="002044BA"/>
    <w:rsid w:val="002205A5"/>
    <w:rsid w:val="00252389"/>
    <w:rsid w:val="002B5A96"/>
    <w:rsid w:val="00444607"/>
    <w:rsid w:val="004C7B99"/>
    <w:rsid w:val="005329F2"/>
    <w:rsid w:val="00653027"/>
    <w:rsid w:val="006919C3"/>
    <w:rsid w:val="00736631"/>
    <w:rsid w:val="00780DAB"/>
    <w:rsid w:val="007C73F0"/>
    <w:rsid w:val="007D3612"/>
    <w:rsid w:val="00910B0A"/>
    <w:rsid w:val="009115E1"/>
    <w:rsid w:val="00967B4E"/>
    <w:rsid w:val="009C5884"/>
    <w:rsid w:val="009E5B1B"/>
    <w:rsid w:val="00A5385E"/>
    <w:rsid w:val="00A762C3"/>
    <w:rsid w:val="00AC4264"/>
    <w:rsid w:val="00AC56B0"/>
    <w:rsid w:val="00B317E8"/>
    <w:rsid w:val="00B50ABE"/>
    <w:rsid w:val="00B51F26"/>
    <w:rsid w:val="00BB4EF6"/>
    <w:rsid w:val="00C03880"/>
    <w:rsid w:val="00C92A31"/>
    <w:rsid w:val="00C93B2C"/>
    <w:rsid w:val="00D01A6B"/>
    <w:rsid w:val="00D77748"/>
    <w:rsid w:val="00ED5D96"/>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A8A6A7C7E044B769DF5DD033C66DD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FA7950F216D4DFF8C3454823B9F2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2394A53A28749C59EADAC5A1C4EE9A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8BFA7-DBDB-40AC-B81C-5AEAAB9F40B9}">
  <ds:schemaRefs/>
</ds:datastoreItem>
</file>

<file path=docProps/app.xml><?xml version="1.0" encoding="utf-8"?>
<Properties xmlns="http://schemas.openxmlformats.org/officeDocument/2006/extended-properties" xmlns:vt="http://schemas.openxmlformats.org/officeDocument/2006/docPropsVTypes">
  <Template>C:\Program Files (x86)\StandardEditor\template\团体标准.dotx</Template>
  <Company>PCMI</Company>
  <Pages>10</Pages>
  <Words>7385</Words>
  <Characters>8779</Characters>
  <Lines>83</Lines>
  <Paragraphs>23</Paragraphs>
  <TotalTime>0</TotalTime>
  <ScaleCrop>false</ScaleCrop>
  <LinksUpToDate>false</LinksUpToDate>
  <CharactersWithSpaces>9048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2023-04-26T10:16:00Z</dcterms:created>
  <dc:creator>admin</dc:creator>
  <dc:description>&lt;config cover="true" show_menu="true" version="1.0.0" doctype="SDKXY"&gt;_x000d_
&lt;/config&gt;</dc:description>
  <cp:lastModifiedBy>jy</cp:lastModifiedBy>
  <cp:lastPrinted>2021-02-02T08:22:00Z</cp:lastPrinted>
  <dcterms:modified xsi:type="dcterms:W3CDTF">2023-06-16T11:48:19Z</dcterms:modified>
  <dc:title>团体标准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254BA766C9EC4DE8BE001E86377D96B7</vt:lpwstr>
  </property>
</Properties>
</file>