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C75386" w14:paraId="5CC5317F" w14:textId="77777777">
        <w:tc>
          <w:tcPr>
            <w:tcW w:w="509" w:type="dxa"/>
          </w:tcPr>
          <w:p w14:paraId="655EEF43" w14:textId="77777777" w:rsidR="00C75386"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060DDC33" w14:textId="77777777" w:rsidR="00C75386" w:rsidRDefault="00C75386">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p>
        </w:tc>
      </w:tr>
      <w:tr w:rsidR="00C75386" w14:paraId="3CF0180A" w14:textId="77777777">
        <w:tc>
          <w:tcPr>
            <w:tcW w:w="509" w:type="dxa"/>
          </w:tcPr>
          <w:p w14:paraId="1408ABFB" w14:textId="77777777" w:rsidR="00C75386"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C75386" w14:paraId="2D59F58A" w14:textId="77777777">
              <w:trPr>
                <w:trHeight w:hRule="exact" w:val="1021"/>
              </w:trPr>
              <w:tc>
                <w:tcPr>
                  <w:tcW w:w="9242" w:type="dxa"/>
                  <w:vAlign w:val="center"/>
                </w:tcPr>
                <w:p w14:paraId="2BBA83AB" w14:textId="77777777" w:rsidR="00C75386" w:rsidRDefault="00C75386" w:rsidP="009238FD">
                  <w:pPr>
                    <w:pStyle w:val="afffff4"/>
                    <w:framePr w:w="0" w:hRule="auto" w:wrap="auto" w:hAnchor="text" w:xAlign="left" w:yAlign="inline" w:anchorLock="0"/>
                    <w:ind w:left="420" w:right="624"/>
                    <w:rPr>
                      <w:rFonts w:ascii="宋体" w:hAnsi="宋体"/>
                      <w:sz w:val="28"/>
                      <w:szCs w:val="28"/>
                    </w:rPr>
                  </w:pPr>
                </w:p>
              </w:tc>
            </w:tr>
          </w:tbl>
          <w:p w14:paraId="6F2D6E5F" w14:textId="77777777" w:rsidR="00C75386" w:rsidRDefault="00C75386">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p>
        </w:tc>
      </w:tr>
    </w:tbl>
    <w:p w14:paraId="61D71644" w14:textId="77777777" w:rsidR="00C75386" w:rsidRDefault="00000000">
      <w:pPr>
        <w:pStyle w:val="afffff5"/>
        <w:framePr w:w="9639" w:h="1089" w:hRule="exact" w:hSpace="181" w:vSpace="181" w:wrap="around" w:hAnchor="page" w:x="1305" w:y="1801"/>
        <w:rPr>
          <w:rFonts w:ascii="黑体" w:eastAsia="黑体" w:hAnsi="黑体"/>
          <w:b w:val="0"/>
          <w:bCs w:val="0"/>
          <w:w w:val="100"/>
          <w:sz w:val="72"/>
          <w:szCs w:val="48"/>
        </w:rPr>
      </w:pPr>
      <w:bookmarkStart w:id="0" w:name="_Hlk26473981"/>
      <w:r>
        <w:rPr>
          <w:rFonts w:ascii="黑体" w:eastAsia="黑体" w:hint="eastAsia"/>
          <w:b w:val="0"/>
          <w:w w:val="100"/>
          <w:sz w:val="72"/>
        </w:rPr>
        <w:t>团体</w:t>
      </w:r>
      <w:r>
        <w:rPr>
          <w:rFonts w:ascii="黑体" w:eastAsia="黑体" w:hAnsi="黑体" w:hint="eastAsia"/>
          <w:b w:val="0"/>
          <w:bCs w:val="0"/>
          <w:w w:val="100"/>
          <w:sz w:val="72"/>
          <w:szCs w:val="48"/>
        </w:rPr>
        <w:t>标准</w:t>
      </w:r>
    </w:p>
    <w:bookmarkEnd w:id="0"/>
    <w:p w14:paraId="137E185B" w14:textId="77777777" w:rsidR="00C75386" w:rsidRDefault="00C75386">
      <w:pPr>
        <w:pStyle w:val="affffffffff7"/>
        <w:framePr w:wrap="auto"/>
      </w:pPr>
    </w:p>
    <w:p w14:paraId="677912E1" w14:textId="77777777" w:rsidR="00C75386" w:rsidRDefault="00000000">
      <w:pPr>
        <w:pStyle w:val="affffffffff8"/>
        <w:framePr w:wrap="auto"/>
        <w:rPr>
          <w:rFonts w:hAnsi="黑体"/>
        </w:rPr>
      </w:pPr>
      <w:r>
        <w:rPr>
          <w:rFonts w:hAnsi="黑体"/>
        </w:rPr>
        <w:fldChar w:fldCharType="begin">
          <w:ffData>
            <w:name w:val="OSTD_CODE"/>
            <w:enabled/>
            <w:calcOnExit w:val="0"/>
            <w:textInput/>
          </w:ffData>
        </w:fldChar>
      </w:r>
      <w:bookmarkStart w:id="1"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1"/>
    </w:p>
    <w:p w14:paraId="2AD627F1" w14:textId="77777777" w:rsidR="00C75386"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77014FFE" wp14:editId="0866AB0E">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3C44ED3F"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74C71919" w14:textId="77777777" w:rsidR="00C75386" w:rsidRDefault="00C75386">
      <w:pPr>
        <w:pStyle w:val="afffff5"/>
        <w:framePr w:w="9639" w:h="6976" w:hRule="exact" w:hSpace="0" w:vSpace="0" w:wrap="around" w:hAnchor="page" w:y="6408"/>
        <w:jc w:val="center"/>
        <w:rPr>
          <w:rFonts w:ascii="黑体" w:eastAsia="黑体" w:hAnsi="黑体"/>
          <w:b w:val="0"/>
          <w:bCs w:val="0"/>
          <w:w w:val="100"/>
        </w:rPr>
      </w:pPr>
    </w:p>
    <w:p w14:paraId="3D131719" w14:textId="35C73C3A" w:rsidR="00C75386" w:rsidRDefault="009238FD">
      <w:pPr>
        <w:pStyle w:val="affffffffff9"/>
        <w:framePr w:h="6974" w:hRule="exact" w:wrap="around" w:x="1419" w:anchorLock="1"/>
      </w:pPr>
      <w:r w:rsidRPr="009238FD">
        <w:rPr>
          <w:rFonts w:hint="eastAsia"/>
        </w:rPr>
        <w:t>淋巴水肿辅助诊断数据处理标准</w:t>
      </w:r>
    </w:p>
    <w:p w14:paraId="2069EE27" w14:textId="77777777" w:rsidR="00C75386" w:rsidRDefault="00C75386">
      <w:pPr>
        <w:framePr w:w="9639" w:h="6974" w:hRule="exact" w:wrap="around" w:vAnchor="page" w:hAnchor="page" w:x="1419" w:y="6408" w:anchorLock="1"/>
        <w:ind w:left="-1418"/>
      </w:pPr>
    </w:p>
    <w:p w14:paraId="1AE2205E" w14:textId="77777777" w:rsidR="00C75386" w:rsidRDefault="00000000">
      <w:pPr>
        <w:pStyle w:val="afffffffd"/>
        <w:framePr w:w="9639" w:h="6974" w:hRule="exact" w:wrap="around" w:vAnchor="page" w:hAnchor="page" w:x="1419" w:y="6408" w:anchorLock="1"/>
        <w:textAlignment w:val="bottom"/>
        <w:rPr>
          <w:rFonts w:eastAsia="黑体"/>
          <w:szCs w:val="28"/>
        </w:rPr>
      </w:pPr>
      <w:r>
        <w:rPr>
          <w:rFonts w:eastAsia="黑体"/>
          <w:szCs w:val="28"/>
        </w:rPr>
        <w:t xml:space="preserve"> </w:t>
      </w:r>
    </w:p>
    <w:p w14:paraId="70007396" w14:textId="77777777" w:rsidR="00C75386" w:rsidRDefault="00C75386">
      <w:pPr>
        <w:pStyle w:val="afffffffd"/>
        <w:framePr w:w="9639" w:h="6974" w:hRule="exact" w:wrap="around" w:vAnchor="page" w:hAnchor="page" w:x="1419" w:y="6408" w:anchorLock="1"/>
        <w:textAlignment w:val="bottom"/>
        <w:rPr>
          <w:rFonts w:eastAsia="黑体"/>
          <w:szCs w:val="28"/>
        </w:rPr>
      </w:pPr>
    </w:p>
    <w:p w14:paraId="5C5F3F98" w14:textId="77777777" w:rsidR="00C75386" w:rsidRDefault="00C75386">
      <w:pPr>
        <w:framePr w:w="9639" w:h="6974" w:hRule="exact" w:wrap="around" w:vAnchor="page" w:hAnchor="page" w:x="1419" w:y="6408" w:anchorLock="1"/>
        <w:spacing w:line="760" w:lineRule="exact"/>
        <w:ind w:left="-1418"/>
      </w:pPr>
    </w:p>
    <w:p w14:paraId="4D179F08" w14:textId="77777777" w:rsidR="00C75386" w:rsidRDefault="00C75386">
      <w:pPr>
        <w:pStyle w:val="afffffffd"/>
        <w:framePr w:w="9639" w:h="6974" w:hRule="exact" w:wrap="around" w:vAnchor="page" w:hAnchor="page" w:x="1419" w:y="6408" w:anchorLock="1"/>
        <w:textAlignment w:val="bottom"/>
        <w:rPr>
          <w:rFonts w:eastAsia="黑体"/>
          <w:szCs w:val="28"/>
        </w:rPr>
      </w:pPr>
    </w:p>
    <w:p w14:paraId="1E3CD691" w14:textId="77777777" w:rsidR="00C75386" w:rsidRDefault="00000000">
      <w:pPr>
        <w:pStyle w:val="affffffffff5"/>
        <w:framePr w:wrap="around" w:y="14176"/>
      </w:pPr>
      <w:r>
        <w:rPr>
          <w:rFonts w:ascii="黑体" w:hint="eastAsia"/>
        </w:rPr>
        <w:t>2023</w:t>
      </w:r>
      <w:r>
        <w:t xml:space="preserve"> </w:t>
      </w:r>
      <w:r>
        <w:rPr>
          <w:rFonts w:ascii="黑体"/>
        </w:rPr>
        <w:t>-</w:t>
      </w:r>
      <w:r>
        <w:t xml:space="preserve"> </w:t>
      </w:r>
      <w:r>
        <w:rPr>
          <w:rFonts w:ascii="黑体" w:hint="eastAsia"/>
        </w:rPr>
        <w:t>XX</w:t>
      </w:r>
      <w:r>
        <w:t xml:space="preserve"> </w:t>
      </w:r>
      <w:r>
        <w:rPr>
          <w:rFonts w:ascii="黑体"/>
        </w:rPr>
        <w:t>-</w:t>
      </w:r>
      <w:r>
        <w:t xml:space="preserve"> </w:t>
      </w:r>
      <w:r>
        <w:rPr>
          <w:rFonts w:ascii="黑体" w:hint="eastAsia"/>
        </w:rPr>
        <w:t>XX</w:t>
      </w:r>
      <w:r>
        <w:rPr>
          <w:rFonts w:hint="eastAsia"/>
        </w:rPr>
        <w:t>发布</w:t>
      </w:r>
    </w:p>
    <w:p w14:paraId="1F00384B" w14:textId="77777777" w:rsidR="00C75386" w:rsidRDefault="00000000">
      <w:pPr>
        <w:pStyle w:val="affffffffff6"/>
        <w:framePr w:wrap="around" w:y="14176"/>
      </w:pPr>
      <w:r>
        <w:rPr>
          <w:rFonts w:ascii="黑体" w:hint="eastAsia"/>
        </w:rPr>
        <w:t>2023</w:t>
      </w:r>
      <w:r>
        <w:t xml:space="preserve"> </w:t>
      </w:r>
      <w:r>
        <w:rPr>
          <w:rFonts w:ascii="黑体"/>
        </w:rPr>
        <w:t>-</w:t>
      </w:r>
      <w:r>
        <w:t xml:space="preserve"> </w:t>
      </w:r>
      <w:r>
        <w:rPr>
          <w:rFonts w:ascii="黑体" w:hint="eastAsia"/>
        </w:rPr>
        <w:t>XX</w:t>
      </w:r>
      <w:r>
        <w:t xml:space="preserve"> </w:t>
      </w:r>
      <w:r>
        <w:rPr>
          <w:rFonts w:ascii="黑体"/>
        </w:rPr>
        <w:t>-</w:t>
      </w:r>
      <w:r>
        <w:t xml:space="preserve"> </w:t>
      </w:r>
      <w:bookmarkStart w:id="2" w:name="CROT_DATE_D"/>
      <w:r>
        <w:rPr>
          <w:rFonts w:ascii="黑体"/>
        </w:rPr>
        <w:fldChar w:fldCharType="begin">
          <w:ffData>
            <w:name w:val="CROT_DATE_D"/>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fldChar w:fldCharType="end"/>
      </w:r>
      <w:bookmarkEnd w:id="2"/>
      <w:r>
        <w:rPr>
          <w:rFonts w:ascii="黑体" w:hint="eastAsia"/>
        </w:rPr>
        <w:t>XX</w:t>
      </w:r>
      <w:r>
        <w:rPr>
          <w:rFonts w:hint="eastAsia"/>
        </w:rPr>
        <w:t>实施</w:t>
      </w:r>
    </w:p>
    <w:p w14:paraId="667C50E3" w14:textId="77777777" w:rsidR="00C75386" w:rsidRDefault="00000000">
      <w:pPr>
        <w:pStyle w:val="affffffffd"/>
        <w:framePr w:h="584" w:hRule="exact" w:hSpace="181" w:vSpace="181" w:wrap="around" w:y="14800"/>
        <w:rPr>
          <w:rFonts w:hAnsi="黑体"/>
        </w:rPr>
      </w:pPr>
      <w:r>
        <w:rPr>
          <w:rFonts w:hAnsi="黑体"/>
          <w:w w:val="100"/>
          <w:sz w:val="28"/>
        </w:rPr>
        <w:fldChar w:fldCharType="begin">
          <w:ffData>
            <w:name w:val="fm"/>
            <w:enabled/>
            <w:calcOnExit w:val="0"/>
            <w:textInput>
              <w:default w:val="中国生物医学工程学会"/>
            </w:textInput>
          </w:ffData>
        </w:fldChar>
      </w:r>
      <w:bookmarkStart w:id="3"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XXX</w:t>
      </w:r>
      <w:r>
        <w:rPr>
          <w:rFonts w:hAnsi="黑体"/>
          <w:w w:val="100"/>
          <w:sz w:val="28"/>
        </w:rPr>
        <w:t>学会</w:t>
      </w:r>
      <w:r>
        <w:rPr>
          <w:rFonts w:hAnsi="黑体"/>
          <w:w w:val="100"/>
          <w:sz w:val="28"/>
        </w:rPr>
        <w:fldChar w:fldCharType="end"/>
      </w:r>
      <w:bookmarkEnd w:id="3"/>
      <w:r>
        <w:rPr>
          <w:rFonts w:ascii="Times New Roman"/>
          <w:w w:val="100"/>
          <w:sz w:val="28"/>
        </w:rPr>
        <w:t>  </w:t>
      </w:r>
      <w:r>
        <w:rPr>
          <w:rStyle w:val="afffffffffffe"/>
          <w:rFonts w:hAnsi="黑体" w:hint="eastAsia"/>
          <w:position w:val="0"/>
        </w:rPr>
        <w:t>发</w:t>
      </w:r>
      <w:r>
        <w:rPr>
          <w:rStyle w:val="afffffffffffe"/>
          <w:rFonts w:hAnsi="黑体" w:hint="eastAsia"/>
          <w:spacing w:val="0"/>
          <w:position w:val="0"/>
        </w:rPr>
        <w:t>布</w:t>
      </w:r>
    </w:p>
    <w:p w14:paraId="4A3804C8" w14:textId="77777777" w:rsidR="00C75386" w:rsidRDefault="00000000">
      <w:pPr>
        <w:rPr>
          <w:rFonts w:ascii="宋体" w:hAnsi="宋体"/>
          <w:sz w:val="28"/>
          <w:szCs w:val="28"/>
        </w:rPr>
        <w:sectPr w:rsidR="00C75386">
          <w:headerReference w:type="even" r:id="rId9"/>
          <w:headerReference w:type="default" r:id="rId10"/>
          <w:footerReference w:type="even"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65BCDB3A" wp14:editId="1933212E">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2809A43C"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621C5135" w14:textId="77777777" w:rsidR="00C75386" w:rsidRDefault="00000000">
      <w:pPr>
        <w:pStyle w:val="afffffff"/>
        <w:spacing w:after="360"/>
      </w:pPr>
      <w:bookmarkStart w:id="4" w:name="BookMark1"/>
      <w:bookmarkStart w:id="5" w:name="_Toc80192992"/>
      <w:r>
        <w:rPr>
          <w:rFonts w:hint="eastAsia"/>
          <w:spacing w:val="320"/>
        </w:rPr>
        <w:lastRenderedPageBreak/>
        <w:t>目</w:t>
      </w:r>
      <w:r>
        <w:rPr>
          <w:rFonts w:hint="eastAsia"/>
        </w:rPr>
        <w:t>次</w:t>
      </w:r>
    </w:p>
    <w:sdt>
      <w:sdtPr>
        <w:rPr>
          <w:rFonts w:hAnsi="宋体"/>
        </w:rPr>
        <w:id w:val="147469074"/>
        <w15:color w:val="DBDBDB"/>
        <w:docPartObj>
          <w:docPartGallery w:val="Table of Contents"/>
          <w:docPartUnique/>
        </w:docPartObj>
      </w:sdtPr>
      <w:sdtEndPr>
        <w:rPr>
          <w:rFonts w:hint="eastAsia"/>
        </w:rPr>
      </w:sdtEndPr>
      <w:sdtContent>
        <w:p w14:paraId="73645550" w14:textId="77777777" w:rsidR="00C75386" w:rsidRDefault="00000000">
          <w:pPr>
            <w:pStyle w:val="TOC1"/>
            <w:tabs>
              <w:tab w:val="right" w:leader="dot" w:pos="9354"/>
            </w:tabs>
            <w:rPr>
              <w:sz w:val="22"/>
              <w:szCs w:val="22"/>
            </w:rPr>
          </w:pPr>
          <w:r>
            <w:rPr>
              <w:rFonts w:hint="eastAsia"/>
            </w:rPr>
            <w:fldChar w:fldCharType="begin"/>
          </w:r>
          <w:r>
            <w:rPr>
              <w:rFonts w:hint="eastAsia"/>
            </w:rPr>
            <w:instrText xml:space="preserve">TOC \o "1-2" \h \u </w:instrText>
          </w:r>
          <w:r>
            <w:rPr>
              <w:rFonts w:hint="eastAsia"/>
            </w:rPr>
            <w:fldChar w:fldCharType="separate"/>
          </w:r>
          <w:hyperlink w:anchor="_Toc20798" w:history="1">
            <w:r>
              <w:rPr>
                <w:rFonts w:hint="eastAsia"/>
                <w:sz w:val="22"/>
                <w:szCs w:val="22"/>
              </w:rPr>
              <w:t>前言</w:t>
            </w:r>
            <w:r>
              <w:rPr>
                <w:rFonts w:hint="eastAsia"/>
                <w:sz w:val="22"/>
                <w:szCs w:val="22"/>
              </w:rPr>
              <w:tab/>
            </w:r>
            <w:r>
              <w:rPr>
                <w:rFonts w:hint="eastAsia"/>
                <w:sz w:val="22"/>
                <w:szCs w:val="22"/>
              </w:rPr>
              <w:fldChar w:fldCharType="begin"/>
            </w:r>
            <w:r>
              <w:rPr>
                <w:rFonts w:hint="eastAsia"/>
                <w:sz w:val="22"/>
                <w:szCs w:val="22"/>
              </w:rPr>
              <w:instrText xml:space="preserve"> PAGEREF _Toc20798 \h </w:instrText>
            </w:r>
            <w:r>
              <w:rPr>
                <w:rFonts w:hint="eastAsia"/>
                <w:sz w:val="22"/>
                <w:szCs w:val="22"/>
              </w:rPr>
            </w:r>
            <w:r>
              <w:rPr>
                <w:rFonts w:hint="eastAsia"/>
                <w:sz w:val="22"/>
                <w:szCs w:val="22"/>
              </w:rPr>
              <w:fldChar w:fldCharType="separate"/>
            </w:r>
            <w:r>
              <w:rPr>
                <w:rFonts w:hint="eastAsia"/>
                <w:sz w:val="22"/>
                <w:szCs w:val="22"/>
              </w:rPr>
              <w:t>II</w:t>
            </w:r>
            <w:r>
              <w:rPr>
                <w:rFonts w:hint="eastAsia"/>
                <w:sz w:val="22"/>
                <w:szCs w:val="22"/>
              </w:rPr>
              <w:fldChar w:fldCharType="end"/>
            </w:r>
          </w:hyperlink>
        </w:p>
        <w:p w14:paraId="6B29CFF4" w14:textId="77777777" w:rsidR="00C75386" w:rsidRDefault="00000000">
          <w:pPr>
            <w:pStyle w:val="TOC1"/>
            <w:tabs>
              <w:tab w:val="right" w:leader="dot" w:pos="9354"/>
            </w:tabs>
            <w:rPr>
              <w:sz w:val="22"/>
              <w:szCs w:val="22"/>
            </w:rPr>
          </w:pPr>
          <w:hyperlink w:anchor="_Toc17708" w:history="1">
            <w:r>
              <w:rPr>
                <w:rFonts w:hint="eastAsia"/>
                <w:sz w:val="22"/>
                <w:szCs w:val="22"/>
              </w:rPr>
              <w:t>引言</w:t>
            </w:r>
            <w:r>
              <w:rPr>
                <w:rFonts w:hint="eastAsia"/>
                <w:sz w:val="22"/>
                <w:szCs w:val="22"/>
              </w:rPr>
              <w:tab/>
            </w:r>
            <w:r>
              <w:rPr>
                <w:rFonts w:hint="eastAsia"/>
                <w:sz w:val="22"/>
                <w:szCs w:val="22"/>
              </w:rPr>
              <w:fldChar w:fldCharType="begin"/>
            </w:r>
            <w:r>
              <w:rPr>
                <w:rFonts w:hint="eastAsia"/>
                <w:sz w:val="22"/>
                <w:szCs w:val="22"/>
              </w:rPr>
              <w:instrText xml:space="preserve"> PAGEREF _Toc17708 \h </w:instrText>
            </w:r>
            <w:r>
              <w:rPr>
                <w:rFonts w:hint="eastAsia"/>
                <w:sz w:val="22"/>
                <w:szCs w:val="22"/>
              </w:rPr>
            </w:r>
            <w:r>
              <w:rPr>
                <w:rFonts w:hint="eastAsia"/>
                <w:sz w:val="22"/>
                <w:szCs w:val="22"/>
              </w:rPr>
              <w:fldChar w:fldCharType="separate"/>
            </w:r>
            <w:r>
              <w:rPr>
                <w:rFonts w:hint="eastAsia"/>
                <w:sz w:val="22"/>
                <w:szCs w:val="22"/>
              </w:rPr>
              <w:t>III</w:t>
            </w:r>
            <w:r>
              <w:rPr>
                <w:rFonts w:hint="eastAsia"/>
                <w:sz w:val="22"/>
                <w:szCs w:val="22"/>
              </w:rPr>
              <w:fldChar w:fldCharType="end"/>
            </w:r>
          </w:hyperlink>
        </w:p>
        <w:p w14:paraId="3E1BA114" w14:textId="77777777" w:rsidR="00C75386" w:rsidRDefault="00000000">
          <w:pPr>
            <w:pStyle w:val="TOC1"/>
            <w:tabs>
              <w:tab w:val="right" w:leader="dot" w:pos="9354"/>
            </w:tabs>
            <w:rPr>
              <w:sz w:val="22"/>
              <w:szCs w:val="22"/>
            </w:rPr>
          </w:pPr>
          <w:hyperlink w:anchor="_Toc3698" w:history="1">
            <w:r>
              <w:rPr>
                <w:rFonts w:hint="eastAsia"/>
                <w:sz w:val="22"/>
                <w:szCs w:val="22"/>
              </w:rPr>
              <w:t>1 范围</w:t>
            </w:r>
            <w:r>
              <w:rPr>
                <w:rFonts w:hint="eastAsia"/>
                <w:sz w:val="22"/>
                <w:szCs w:val="22"/>
              </w:rPr>
              <w:tab/>
            </w:r>
            <w:r>
              <w:rPr>
                <w:rFonts w:hint="eastAsia"/>
                <w:sz w:val="22"/>
                <w:szCs w:val="22"/>
              </w:rPr>
              <w:fldChar w:fldCharType="begin"/>
            </w:r>
            <w:r>
              <w:rPr>
                <w:rFonts w:hint="eastAsia"/>
                <w:sz w:val="22"/>
                <w:szCs w:val="22"/>
              </w:rPr>
              <w:instrText xml:space="preserve"> PAGEREF _Toc3698 \h </w:instrText>
            </w:r>
            <w:r>
              <w:rPr>
                <w:rFonts w:hint="eastAsia"/>
                <w:sz w:val="22"/>
                <w:szCs w:val="22"/>
              </w:rPr>
            </w:r>
            <w:r>
              <w:rPr>
                <w:rFonts w:hint="eastAsia"/>
                <w:sz w:val="22"/>
                <w:szCs w:val="22"/>
              </w:rPr>
              <w:fldChar w:fldCharType="separate"/>
            </w:r>
            <w:r>
              <w:rPr>
                <w:rFonts w:hint="eastAsia"/>
                <w:sz w:val="22"/>
                <w:szCs w:val="22"/>
              </w:rPr>
              <w:t>4</w:t>
            </w:r>
            <w:r>
              <w:rPr>
                <w:rFonts w:hint="eastAsia"/>
                <w:sz w:val="22"/>
                <w:szCs w:val="22"/>
              </w:rPr>
              <w:fldChar w:fldCharType="end"/>
            </w:r>
          </w:hyperlink>
        </w:p>
        <w:p w14:paraId="44FF4339" w14:textId="77777777" w:rsidR="00C75386" w:rsidRDefault="00000000">
          <w:pPr>
            <w:pStyle w:val="TOC1"/>
            <w:tabs>
              <w:tab w:val="right" w:leader="dot" w:pos="9354"/>
            </w:tabs>
            <w:rPr>
              <w:sz w:val="22"/>
              <w:szCs w:val="22"/>
            </w:rPr>
          </w:pPr>
          <w:hyperlink w:anchor="_Toc26759" w:history="1">
            <w:r>
              <w:rPr>
                <w:rFonts w:hint="eastAsia"/>
                <w:sz w:val="22"/>
                <w:szCs w:val="22"/>
              </w:rPr>
              <w:t>2 规范性引用文件</w:t>
            </w:r>
            <w:r>
              <w:rPr>
                <w:rFonts w:hint="eastAsia"/>
                <w:sz w:val="22"/>
                <w:szCs w:val="22"/>
              </w:rPr>
              <w:tab/>
            </w:r>
            <w:r>
              <w:rPr>
                <w:rFonts w:hint="eastAsia"/>
                <w:sz w:val="22"/>
                <w:szCs w:val="22"/>
              </w:rPr>
              <w:fldChar w:fldCharType="begin"/>
            </w:r>
            <w:r>
              <w:rPr>
                <w:rFonts w:hint="eastAsia"/>
                <w:sz w:val="22"/>
                <w:szCs w:val="22"/>
              </w:rPr>
              <w:instrText xml:space="preserve"> PAGEREF _Toc26759 \h </w:instrText>
            </w:r>
            <w:r>
              <w:rPr>
                <w:rFonts w:hint="eastAsia"/>
                <w:sz w:val="22"/>
                <w:szCs w:val="22"/>
              </w:rPr>
            </w:r>
            <w:r>
              <w:rPr>
                <w:rFonts w:hint="eastAsia"/>
                <w:sz w:val="22"/>
                <w:szCs w:val="22"/>
              </w:rPr>
              <w:fldChar w:fldCharType="separate"/>
            </w:r>
            <w:r>
              <w:rPr>
                <w:rFonts w:hint="eastAsia"/>
                <w:sz w:val="22"/>
                <w:szCs w:val="22"/>
              </w:rPr>
              <w:t>4</w:t>
            </w:r>
            <w:r>
              <w:rPr>
                <w:rFonts w:hint="eastAsia"/>
                <w:sz w:val="22"/>
                <w:szCs w:val="22"/>
              </w:rPr>
              <w:fldChar w:fldCharType="end"/>
            </w:r>
          </w:hyperlink>
        </w:p>
        <w:p w14:paraId="0FC2BC13" w14:textId="77777777" w:rsidR="00C75386" w:rsidRDefault="00000000">
          <w:pPr>
            <w:pStyle w:val="TOC1"/>
            <w:tabs>
              <w:tab w:val="right" w:leader="dot" w:pos="9354"/>
            </w:tabs>
            <w:rPr>
              <w:sz w:val="22"/>
              <w:szCs w:val="22"/>
            </w:rPr>
          </w:pPr>
          <w:hyperlink w:anchor="_Toc17257" w:history="1">
            <w:r>
              <w:rPr>
                <w:rFonts w:hint="eastAsia"/>
                <w:sz w:val="22"/>
                <w:szCs w:val="22"/>
              </w:rPr>
              <w:t>3 术语和定义</w:t>
            </w:r>
            <w:r>
              <w:rPr>
                <w:rFonts w:hint="eastAsia"/>
                <w:sz w:val="22"/>
                <w:szCs w:val="22"/>
              </w:rPr>
              <w:tab/>
            </w:r>
            <w:r>
              <w:rPr>
                <w:rFonts w:hint="eastAsia"/>
                <w:sz w:val="22"/>
                <w:szCs w:val="22"/>
              </w:rPr>
              <w:fldChar w:fldCharType="begin"/>
            </w:r>
            <w:r>
              <w:rPr>
                <w:rFonts w:hint="eastAsia"/>
                <w:sz w:val="22"/>
                <w:szCs w:val="22"/>
              </w:rPr>
              <w:instrText xml:space="preserve"> PAGEREF _Toc17257 \h </w:instrText>
            </w:r>
            <w:r>
              <w:rPr>
                <w:rFonts w:hint="eastAsia"/>
                <w:sz w:val="22"/>
                <w:szCs w:val="22"/>
              </w:rPr>
            </w:r>
            <w:r>
              <w:rPr>
                <w:rFonts w:hint="eastAsia"/>
                <w:sz w:val="22"/>
                <w:szCs w:val="22"/>
              </w:rPr>
              <w:fldChar w:fldCharType="separate"/>
            </w:r>
            <w:r>
              <w:rPr>
                <w:rFonts w:hint="eastAsia"/>
                <w:sz w:val="22"/>
                <w:szCs w:val="22"/>
              </w:rPr>
              <w:t>4</w:t>
            </w:r>
            <w:r>
              <w:rPr>
                <w:rFonts w:hint="eastAsia"/>
                <w:sz w:val="22"/>
                <w:szCs w:val="22"/>
              </w:rPr>
              <w:fldChar w:fldCharType="end"/>
            </w:r>
          </w:hyperlink>
        </w:p>
        <w:p w14:paraId="3CB5DAA0" w14:textId="77777777" w:rsidR="00C75386" w:rsidRDefault="00000000">
          <w:pPr>
            <w:pStyle w:val="TOC1"/>
            <w:tabs>
              <w:tab w:val="right" w:leader="dot" w:pos="9354"/>
            </w:tabs>
            <w:rPr>
              <w:sz w:val="22"/>
              <w:szCs w:val="22"/>
            </w:rPr>
          </w:pPr>
          <w:hyperlink w:anchor="_Toc15188" w:history="1">
            <w:r>
              <w:rPr>
                <w:rFonts w:hint="eastAsia"/>
                <w:sz w:val="22"/>
                <w:szCs w:val="22"/>
              </w:rPr>
              <w:t>4 数据处理过程</w:t>
            </w:r>
            <w:r>
              <w:rPr>
                <w:rFonts w:hint="eastAsia"/>
                <w:sz w:val="22"/>
                <w:szCs w:val="22"/>
              </w:rPr>
              <w:tab/>
            </w:r>
            <w:r>
              <w:rPr>
                <w:rFonts w:hint="eastAsia"/>
                <w:sz w:val="22"/>
                <w:szCs w:val="22"/>
              </w:rPr>
              <w:fldChar w:fldCharType="begin"/>
            </w:r>
            <w:r>
              <w:rPr>
                <w:rFonts w:hint="eastAsia"/>
                <w:sz w:val="22"/>
                <w:szCs w:val="22"/>
              </w:rPr>
              <w:instrText xml:space="preserve"> PAGEREF _Toc15188 \h </w:instrText>
            </w:r>
            <w:r>
              <w:rPr>
                <w:rFonts w:hint="eastAsia"/>
                <w:sz w:val="22"/>
                <w:szCs w:val="22"/>
              </w:rPr>
            </w:r>
            <w:r>
              <w:rPr>
                <w:rFonts w:hint="eastAsia"/>
                <w:sz w:val="22"/>
                <w:szCs w:val="22"/>
              </w:rPr>
              <w:fldChar w:fldCharType="separate"/>
            </w:r>
            <w:r>
              <w:rPr>
                <w:rFonts w:hint="eastAsia"/>
                <w:sz w:val="22"/>
                <w:szCs w:val="22"/>
              </w:rPr>
              <w:t>5</w:t>
            </w:r>
            <w:r>
              <w:rPr>
                <w:rFonts w:hint="eastAsia"/>
                <w:sz w:val="22"/>
                <w:szCs w:val="22"/>
              </w:rPr>
              <w:fldChar w:fldCharType="end"/>
            </w:r>
          </w:hyperlink>
        </w:p>
        <w:p w14:paraId="27910F08" w14:textId="77777777" w:rsidR="00C75386" w:rsidRDefault="00000000">
          <w:pPr>
            <w:pStyle w:val="TOC1"/>
            <w:tabs>
              <w:tab w:val="right" w:leader="dot" w:pos="9354"/>
            </w:tabs>
            <w:ind w:leftChars="100" w:left="210"/>
            <w:rPr>
              <w:sz w:val="22"/>
              <w:szCs w:val="22"/>
            </w:rPr>
          </w:pPr>
          <w:hyperlink w:anchor="_Toc11796" w:history="1">
            <w:r>
              <w:rPr>
                <w:rFonts w:hint="eastAsia"/>
                <w:sz w:val="22"/>
                <w:szCs w:val="22"/>
              </w:rPr>
              <w:t>4.1 数据准备工作</w:t>
            </w:r>
            <w:r>
              <w:rPr>
                <w:rFonts w:hint="eastAsia"/>
                <w:sz w:val="22"/>
                <w:szCs w:val="22"/>
              </w:rPr>
              <w:tab/>
            </w:r>
            <w:r>
              <w:rPr>
                <w:rFonts w:hint="eastAsia"/>
                <w:sz w:val="22"/>
                <w:szCs w:val="22"/>
              </w:rPr>
              <w:fldChar w:fldCharType="begin"/>
            </w:r>
            <w:r>
              <w:rPr>
                <w:rFonts w:hint="eastAsia"/>
                <w:sz w:val="22"/>
                <w:szCs w:val="22"/>
              </w:rPr>
              <w:instrText xml:space="preserve"> PAGEREF _Toc11796 \h </w:instrText>
            </w:r>
            <w:r>
              <w:rPr>
                <w:rFonts w:hint="eastAsia"/>
                <w:sz w:val="22"/>
                <w:szCs w:val="22"/>
              </w:rPr>
            </w:r>
            <w:r>
              <w:rPr>
                <w:rFonts w:hint="eastAsia"/>
                <w:sz w:val="22"/>
                <w:szCs w:val="22"/>
              </w:rPr>
              <w:fldChar w:fldCharType="separate"/>
            </w:r>
            <w:r>
              <w:rPr>
                <w:rFonts w:hint="eastAsia"/>
                <w:sz w:val="22"/>
                <w:szCs w:val="22"/>
              </w:rPr>
              <w:t>5</w:t>
            </w:r>
            <w:r>
              <w:rPr>
                <w:rFonts w:hint="eastAsia"/>
                <w:sz w:val="22"/>
                <w:szCs w:val="22"/>
              </w:rPr>
              <w:fldChar w:fldCharType="end"/>
            </w:r>
          </w:hyperlink>
        </w:p>
        <w:p w14:paraId="02FA76C2" w14:textId="77777777" w:rsidR="00C75386" w:rsidRDefault="00000000">
          <w:pPr>
            <w:pStyle w:val="TOC1"/>
            <w:tabs>
              <w:tab w:val="right" w:leader="dot" w:pos="9354"/>
            </w:tabs>
            <w:ind w:leftChars="100" w:left="210"/>
            <w:rPr>
              <w:sz w:val="22"/>
              <w:szCs w:val="22"/>
            </w:rPr>
          </w:pPr>
          <w:hyperlink w:anchor="_Toc10684" w:history="1">
            <w:r>
              <w:rPr>
                <w:rFonts w:hint="eastAsia"/>
                <w:sz w:val="22"/>
                <w:szCs w:val="22"/>
              </w:rPr>
              <w:t>4.2 数据脱敏标准</w:t>
            </w:r>
            <w:r>
              <w:rPr>
                <w:rFonts w:hint="eastAsia"/>
                <w:sz w:val="22"/>
                <w:szCs w:val="22"/>
              </w:rPr>
              <w:tab/>
            </w:r>
            <w:r>
              <w:rPr>
                <w:rFonts w:hint="eastAsia"/>
                <w:sz w:val="22"/>
                <w:szCs w:val="22"/>
              </w:rPr>
              <w:fldChar w:fldCharType="begin"/>
            </w:r>
            <w:r>
              <w:rPr>
                <w:rFonts w:hint="eastAsia"/>
                <w:sz w:val="22"/>
                <w:szCs w:val="22"/>
              </w:rPr>
              <w:instrText xml:space="preserve"> PAGEREF _Toc10684 \h </w:instrText>
            </w:r>
            <w:r>
              <w:rPr>
                <w:rFonts w:hint="eastAsia"/>
                <w:sz w:val="22"/>
                <w:szCs w:val="22"/>
              </w:rPr>
            </w:r>
            <w:r>
              <w:rPr>
                <w:rFonts w:hint="eastAsia"/>
                <w:sz w:val="22"/>
                <w:szCs w:val="22"/>
              </w:rPr>
              <w:fldChar w:fldCharType="separate"/>
            </w:r>
            <w:r>
              <w:rPr>
                <w:rFonts w:hint="eastAsia"/>
                <w:sz w:val="22"/>
                <w:szCs w:val="22"/>
              </w:rPr>
              <w:t>5</w:t>
            </w:r>
            <w:r>
              <w:rPr>
                <w:rFonts w:hint="eastAsia"/>
                <w:sz w:val="22"/>
                <w:szCs w:val="22"/>
              </w:rPr>
              <w:fldChar w:fldCharType="end"/>
            </w:r>
          </w:hyperlink>
        </w:p>
        <w:p w14:paraId="5DAAA394" w14:textId="77777777" w:rsidR="00C75386" w:rsidRDefault="00000000">
          <w:pPr>
            <w:pStyle w:val="TOC1"/>
            <w:tabs>
              <w:tab w:val="right" w:leader="dot" w:pos="9354"/>
            </w:tabs>
            <w:ind w:leftChars="100" w:left="210"/>
            <w:rPr>
              <w:sz w:val="22"/>
              <w:szCs w:val="22"/>
            </w:rPr>
          </w:pPr>
          <w:hyperlink w:anchor="_Toc20664" w:history="1">
            <w:r>
              <w:rPr>
                <w:rFonts w:hint="eastAsia"/>
                <w:sz w:val="22"/>
                <w:szCs w:val="22"/>
              </w:rPr>
              <w:t>4.3 数据处理标准</w:t>
            </w:r>
            <w:r>
              <w:rPr>
                <w:rFonts w:hint="eastAsia"/>
                <w:sz w:val="22"/>
                <w:szCs w:val="22"/>
              </w:rPr>
              <w:tab/>
            </w:r>
            <w:r>
              <w:rPr>
                <w:rFonts w:hint="eastAsia"/>
                <w:sz w:val="22"/>
                <w:szCs w:val="22"/>
              </w:rPr>
              <w:fldChar w:fldCharType="begin"/>
            </w:r>
            <w:r>
              <w:rPr>
                <w:rFonts w:hint="eastAsia"/>
                <w:sz w:val="22"/>
                <w:szCs w:val="22"/>
              </w:rPr>
              <w:instrText xml:space="preserve"> PAGEREF _Toc20664 \h </w:instrText>
            </w:r>
            <w:r>
              <w:rPr>
                <w:rFonts w:hint="eastAsia"/>
                <w:sz w:val="22"/>
                <w:szCs w:val="22"/>
              </w:rPr>
            </w:r>
            <w:r>
              <w:rPr>
                <w:rFonts w:hint="eastAsia"/>
                <w:sz w:val="22"/>
                <w:szCs w:val="22"/>
              </w:rPr>
              <w:fldChar w:fldCharType="separate"/>
            </w:r>
            <w:r>
              <w:rPr>
                <w:rFonts w:hint="eastAsia"/>
                <w:sz w:val="22"/>
                <w:szCs w:val="22"/>
              </w:rPr>
              <w:t>7</w:t>
            </w:r>
            <w:r>
              <w:rPr>
                <w:rFonts w:hint="eastAsia"/>
                <w:sz w:val="22"/>
                <w:szCs w:val="22"/>
              </w:rPr>
              <w:fldChar w:fldCharType="end"/>
            </w:r>
          </w:hyperlink>
        </w:p>
        <w:p w14:paraId="765239F5" w14:textId="77777777" w:rsidR="00C75386" w:rsidRDefault="00000000">
          <w:pPr>
            <w:pStyle w:val="TOC1"/>
            <w:tabs>
              <w:tab w:val="right" w:leader="dot" w:pos="9354"/>
            </w:tabs>
            <w:ind w:leftChars="100" w:left="210"/>
            <w:rPr>
              <w:sz w:val="22"/>
              <w:szCs w:val="22"/>
            </w:rPr>
          </w:pPr>
          <w:hyperlink w:anchor="_Toc3290" w:history="1">
            <w:r>
              <w:rPr>
                <w:rFonts w:hint="eastAsia"/>
                <w:sz w:val="22"/>
                <w:szCs w:val="22"/>
              </w:rPr>
              <w:t>4.4 数据加密标准</w:t>
            </w:r>
            <w:r>
              <w:rPr>
                <w:rFonts w:hint="eastAsia"/>
                <w:sz w:val="22"/>
                <w:szCs w:val="22"/>
              </w:rPr>
              <w:tab/>
            </w:r>
            <w:r>
              <w:rPr>
                <w:rFonts w:hint="eastAsia"/>
                <w:sz w:val="22"/>
                <w:szCs w:val="22"/>
              </w:rPr>
              <w:fldChar w:fldCharType="begin"/>
            </w:r>
            <w:r>
              <w:rPr>
                <w:rFonts w:hint="eastAsia"/>
                <w:sz w:val="22"/>
                <w:szCs w:val="22"/>
              </w:rPr>
              <w:instrText xml:space="preserve"> PAGEREF _Toc3290 \h </w:instrText>
            </w:r>
            <w:r>
              <w:rPr>
                <w:rFonts w:hint="eastAsia"/>
                <w:sz w:val="22"/>
                <w:szCs w:val="22"/>
              </w:rPr>
            </w:r>
            <w:r>
              <w:rPr>
                <w:rFonts w:hint="eastAsia"/>
                <w:sz w:val="22"/>
                <w:szCs w:val="22"/>
              </w:rPr>
              <w:fldChar w:fldCharType="separate"/>
            </w:r>
            <w:r>
              <w:rPr>
                <w:rFonts w:hint="eastAsia"/>
                <w:sz w:val="22"/>
                <w:szCs w:val="22"/>
              </w:rPr>
              <w:t>7</w:t>
            </w:r>
            <w:r>
              <w:rPr>
                <w:rFonts w:hint="eastAsia"/>
                <w:sz w:val="22"/>
                <w:szCs w:val="22"/>
              </w:rPr>
              <w:fldChar w:fldCharType="end"/>
            </w:r>
          </w:hyperlink>
        </w:p>
        <w:p w14:paraId="4B867100" w14:textId="77777777" w:rsidR="00C75386" w:rsidRDefault="00000000">
          <w:pPr>
            <w:pStyle w:val="TOC1"/>
            <w:tabs>
              <w:tab w:val="right" w:leader="dot" w:pos="9354"/>
            </w:tabs>
            <w:ind w:leftChars="100" w:left="210"/>
            <w:rPr>
              <w:sz w:val="22"/>
              <w:szCs w:val="22"/>
            </w:rPr>
          </w:pPr>
          <w:hyperlink w:anchor="_Toc2143" w:history="1">
            <w:r>
              <w:rPr>
                <w:rFonts w:hint="eastAsia"/>
                <w:sz w:val="22"/>
                <w:szCs w:val="22"/>
              </w:rPr>
              <w:t>4.5 数据处理质量控制</w:t>
            </w:r>
            <w:r>
              <w:rPr>
                <w:rFonts w:hint="eastAsia"/>
                <w:sz w:val="22"/>
                <w:szCs w:val="22"/>
              </w:rPr>
              <w:tab/>
            </w:r>
            <w:r>
              <w:rPr>
                <w:rFonts w:hint="eastAsia"/>
                <w:sz w:val="22"/>
                <w:szCs w:val="22"/>
              </w:rPr>
              <w:fldChar w:fldCharType="begin"/>
            </w:r>
            <w:r>
              <w:rPr>
                <w:rFonts w:hint="eastAsia"/>
                <w:sz w:val="22"/>
                <w:szCs w:val="22"/>
              </w:rPr>
              <w:instrText xml:space="preserve"> PAGEREF _Toc2143 \h </w:instrText>
            </w:r>
            <w:r>
              <w:rPr>
                <w:rFonts w:hint="eastAsia"/>
                <w:sz w:val="22"/>
                <w:szCs w:val="22"/>
              </w:rPr>
            </w:r>
            <w:r>
              <w:rPr>
                <w:rFonts w:hint="eastAsia"/>
                <w:sz w:val="22"/>
                <w:szCs w:val="22"/>
              </w:rPr>
              <w:fldChar w:fldCharType="separate"/>
            </w:r>
            <w:r>
              <w:rPr>
                <w:rFonts w:hint="eastAsia"/>
                <w:sz w:val="22"/>
                <w:szCs w:val="22"/>
              </w:rPr>
              <w:t>8</w:t>
            </w:r>
            <w:r>
              <w:rPr>
                <w:rFonts w:hint="eastAsia"/>
                <w:sz w:val="22"/>
                <w:szCs w:val="22"/>
              </w:rPr>
              <w:fldChar w:fldCharType="end"/>
            </w:r>
          </w:hyperlink>
        </w:p>
        <w:p w14:paraId="7FA9F6B8" w14:textId="77777777" w:rsidR="00C75386" w:rsidRDefault="00000000">
          <w:pPr>
            <w:pStyle w:val="TOC1"/>
            <w:tabs>
              <w:tab w:val="right" w:leader="dot" w:pos="9354"/>
            </w:tabs>
          </w:pPr>
          <w:hyperlink w:anchor="_Toc31871" w:history="1">
            <w:r>
              <w:rPr>
                <w:rFonts w:hint="eastAsia"/>
                <w:sz w:val="22"/>
                <w:szCs w:val="22"/>
              </w:rPr>
              <w:t>参考文献</w:t>
            </w:r>
            <w:r>
              <w:rPr>
                <w:rFonts w:hint="eastAsia"/>
                <w:sz w:val="22"/>
                <w:szCs w:val="22"/>
              </w:rPr>
              <w:tab/>
            </w:r>
            <w:r>
              <w:rPr>
                <w:rFonts w:hint="eastAsia"/>
                <w:sz w:val="22"/>
                <w:szCs w:val="22"/>
              </w:rPr>
              <w:fldChar w:fldCharType="begin"/>
            </w:r>
            <w:r>
              <w:rPr>
                <w:rFonts w:hint="eastAsia"/>
                <w:sz w:val="22"/>
                <w:szCs w:val="22"/>
              </w:rPr>
              <w:instrText xml:space="preserve"> PAGEREF _Toc31871 \h </w:instrText>
            </w:r>
            <w:r>
              <w:rPr>
                <w:rFonts w:hint="eastAsia"/>
                <w:sz w:val="22"/>
                <w:szCs w:val="22"/>
              </w:rPr>
            </w:r>
            <w:r>
              <w:rPr>
                <w:rFonts w:hint="eastAsia"/>
                <w:sz w:val="22"/>
                <w:szCs w:val="22"/>
              </w:rPr>
              <w:fldChar w:fldCharType="separate"/>
            </w:r>
            <w:r>
              <w:rPr>
                <w:rFonts w:hint="eastAsia"/>
                <w:sz w:val="22"/>
                <w:szCs w:val="22"/>
              </w:rPr>
              <w:t>9</w:t>
            </w:r>
            <w:r>
              <w:rPr>
                <w:rFonts w:hint="eastAsia"/>
                <w:sz w:val="22"/>
                <w:szCs w:val="22"/>
              </w:rPr>
              <w:fldChar w:fldCharType="end"/>
            </w:r>
          </w:hyperlink>
        </w:p>
        <w:p w14:paraId="366AFC5C" w14:textId="77777777" w:rsidR="00C75386" w:rsidRDefault="00000000">
          <w:pPr>
            <w:pStyle w:val="TOC1"/>
            <w:tabs>
              <w:tab w:val="right" w:leader="dot" w:pos="9354"/>
            </w:tabs>
            <w:sectPr w:rsidR="00C75386">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linePitch="312"/>
            </w:sectPr>
          </w:pPr>
          <w:r>
            <w:rPr>
              <w:rFonts w:hint="eastAsia"/>
            </w:rPr>
            <w:fldChar w:fldCharType="end"/>
          </w:r>
        </w:p>
      </w:sdtContent>
    </w:sdt>
    <w:p w14:paraId="416037A7" w14:textId="77777777" w:rsidR="00C75386" w:rsidRDefault="00000000">
      <w:pPr>
        <w:pStyle w:val="a6"/>
        <w:spacing w:after="360"/>
      </w:pPr>
      <w:bookmarkStart w:id="6" w:name="_Toc1654"/>
      <w:bookmarkStart w:id="7" w:name="_Toc20798"/>
      <w:bookmarkStart w:id="8" w:name="BookMark2"/>
      <w:bookmarkEnd w:id="4"/>
      <w:r>
        <w:rPr>
          <w:spacing w:val="320"/>
        </w:rPr>
        <w:lastRenderedPageBreak/>
        <w:t>前</w:t>
      </w:r>
      <w:r>
        <w:t>言</w:t>
      </w:r>
      <w:bookmarkEnd w:id="5"/>
      <w:bookmarkEnd w:id="6"/>
      <w:bookmarkEnd w:id="7"/>
    </w:p>
    <w:p w14:paraId="2343E087" w14:textId="77777777" w:rsidR="00C75386" w:rsidRPr="0020632E" w:rsidRDefault="00000000">
      <w:pPr>
        <w:pStyle w:val="afffffa"/>
        <w:ind w:firstLine="420"/>
      </w:pPr>
      <w:r>
        <w:rPr>
          <w:rFonts w:hint="eastAsia"/>
        </w:rPr>
        <w:t>本文件按照GB/T 1.1</w:t>
      </w:r>
      <w:r w:rsidRPr="0020632E">
        <w:rPr>
          <w:rFonts w:hint="eastAsia"/>
        </w:rPr>
        <w:t>—2020《标准化工作导则  第1部分：标准化文件的结构和起草规则》的规定起草。</w:t>
      </w:r>
    </w:p>
    <w:p w14:paraId="7E09733B" w14:textId="77777777" w:rsidR="00C75386" w:rsidRPr="0020632E" w:rsidRDefault="00000000">
      <w:pPr>
        <w:pStyle w:val="afffffa"/>
        <w:ind w:firstLine="420"/>
      </w:pPr>
      <w:r w:rsidRPr="0020632E">
        <w:rPr>
          <w:rFonts w:hint="eastAsia"/>
        </w:rPr>
        <w:t>请注意本文件的某些内容可能涉及专利。本文件的发布机构不承担识别这些专利的责任。</w:t>
      </w:r>
    </w:p>
    <w:p w14:paraId="4B96969E" w14:textId="77777777" w:rsidR="00C75386" w:rsidRPr="0020632E" w:rsidRDefault="00000000">
      <w:pPr>
        <w:pStyle w:val="afffffa"/>
        <w:ind w:firstLine="420"/>
      </w:pPr>
      <w:r w:rsidRPr="0020632E">
        <w:rPr>
          <w:rFonts w:hint="eastAsia"/>
        </w:rPr>
        <w:t>本文件由中国生物医学工程学会提出。</w:t>
      </w:r>
    </w:p>
    <w:p w14:paraId="6B1D12B9" w14:textId="77777777" w:rsidR="00C75386" w:rsidRPr="0020632E" w:rsidRDefault="00000000">
      <w:pPr>
        <w:pStyle w:val="afffffa"/>
        <w:ind w:firstLine="420"/>
      </w:pPr>
      <w:r w:rsidRPr="0020632E">
        <w:rPr>
          <w:rFonts w:hint="eastAsia"/>
        </w:rPr>
        <w:t>本文件由中国生物医学工程学会知识</w:t>
      </w:r>
      <w:r w:rsidRPr="0020632E">
        <w:t>产权与标准化</w:t>
      </w:r>
      <w:r w:rsidRPr="0020632E">
        <w:rPr>
          <w:rFonts w:hint="eastAsia"/>
        </w:rPr>
        <w:t>工作委员会归口。</w:t>
      </w:r>
    </w:p>
    <w:p w14:paraId="55642F8D" w14:textId="31A69CC4" w:rsidR="00C75386" w:rsidRPr="0020632E" w:rsidRDefault="00000000">
      <w:pPr>
        <w:pStyle w:val="afffffa"/>
        <w:ind w:firstLine="420"/>
      </w:pPr>
      <w:r w:rsidRPr="0020632E">
        <w:rPr>
          <w:rFonts w:hint="eastAsia"/>
        </w:rPr>
        <w:t>本文件起草单位：首都医科大学附属北京世纪坛医院、中国科学院自动化研究所</w:t>
      </w:r>
    </w:p>
    <w:p w14:paraId="7F81273C" w14:textId="3EF29FF8" w:rsidR="00C75386" w:rsidRPr="0020632E" w:rsidRDefault="00000000">
      <w:pPr>
        <w:pStyle w:val="afffffa"/>
        <w:ind w:firstLine="420"/>
      </w:pPr>
      <w:r w:rsidRPr="0020632E">
        <w:rPr>
          <w:rFonts w:hint="eastAsia"/>
        </w:rPr>
        <w:t>本文件主要起草人：沈文彬、</w:t>
      </w:r>
      <w:r w:rsidR="0020632E">
        <w:rPr>
          <w:rFonts w:hint="eastAsia"/>
        </w:rPr>
        <w:t>孙宇光、夏松、苏万春、</w:t>
      </w:r>
      <w:r w:rsidRPr="0020632E">
        <w:rPr>
          <w:rFonts w:hint="eastAsia"/>
        </w:rPr>
        <w:t>徐毅、汤昊宬、冀秀元、丁振甲</w:t>
      </w:r>
    </w:p>
    <w:p w14:paraId="18CB2209" w14:textId="77777777" w:rsidR="00C75386" w:rsidRPr="0020632E" w:rsidRDefault="00C75386">
      <w:pPr>
        <w:pStyle w:val="afffffa"/>
        <w:ind w:firstLine="420"/>
      </w:pPr>
    </w:p>
    <w:p w14:paraId="43E562D9" w14:textId="77777777" w:rsidR="00C75386" w:rsidRDefault="00C75386">
      <w:pPr>
        <w:pStyle w:val="afffffa"/>
        <w:ind w:firstLine="420"/>
        <w:sectPr w:rsidR="00C75386">
          <w:pgSz w:w="11906" w:h="16838"/>
          <w:pgMar w:top="2410" w:right="1134" w:bottom="1134" w:left="1134" w:header="1418" w:footer="1134" w:gutter="284"/>
          <w:pgNumType w:fmt="upperRoman"/>
          <w:cols w:space="425"/>
          <w:formProt w:val="0"/>
          <w:docGrid w:linePitch="312"/>
        </w:sectPr>
      </w:pPr>
    </w:p>
    <w:p w14:paraId="520E05C8" w14:textId="77777777" w:rsidR="00C75386" w:rsidRDefault="00000000">
      <w:pPr>
        <w:pStyle w:val="a6"/>
        <w:spacing w:after="360"/>
      </w:pPr>
      <w:bookmarkStart w:id="9" w:name="_Toc80192993"/>
      <w:bookmarkStart w:id="10" w:name="_Toc11383"/>
      <w:bookmarkStart w:id="11" w:name="_Toc17708"/>
      <w:bookmarkStart w:id="12" w:name="BookMark3"/>
      <w:bookmarkEnd w:id="8"/>
      <w:r>
        <w:rPr>
          <w:spacing w:val="320"/>
        </w:rPr>
        <w:lastRenderedPageBreak/>
        <w:t>引</w:t>
      </w:r>
      <w:r>
        <w:t>言</w:t>
      </w:r>
      <w:bookmarkEnd w:id="9"/>
      <w:bookmarkEnd w:id="10"/>
      <w:bookmarkEnd w:id="11"/>
    </w:p>
    <w:p w14:paraId="5C9E915C" w14:textId="7B7D3B93" w:rsidR="008C42C9" w:rsidRPr="008C42C9" w:rsidRDefault="008C42C9" w:rsidP="008C42C9">
      <w:pPr>
        <w:pStyle w:val="afffffa"/>
        <w:ind w:firstLine="420"/>
        <w:rPr>
          <w:rFonts w:hAnsi="宋体"/>
          <w:szCs w:val="21"/>
        </w:rPr>
      </w:pPr>
      <w:r w:rsidRPr="008C42C9">
        <w:rPr>
          <w:rFonts w:hAnsi="宋体" w:hint="eastAsia"/>
          <w:szCs w:val="21"/>
        </w:rPr>
        <w:t>淋巴水肿是由于淋巴系统的先天性或获得性障碍，导致局部体液滞留和组织肿胀，是严重影响人们健康和生活质量的疾病之一。据国际淋巴学会统计，目前全世界患者数约1.7亿，我国的患病人数超过一千万，尤其是继发性淋巴水肿患者数量正伴随着癌症或肿瘤患者人数快速增长，每年接受乳腺肿瘤、妇科肿瘤、男性泌尿生殖系统手术治疗的患者出现淋巴水肿的比例高达20%</w:t>
      </w:r>
      <w:r>
        <w:rPr>
          <w:rFonts w:hAnsi="宋体"/>
          <w:szCs w:val="21"/>
        </w:rPr>
        <w:t>-</w:t>
      </w:r>
      <w:r w:rsidRPr="008C42C9">
        <w:rPr>
          <w:rFonts w:hAnsi="宋体" w:hint="eastAsia"/>
          <w:szCs w:val="21"/>
        </w:rPr>
        <w:t>60%，通常在术后几个月甚至数年后出现，开始时没有明显症状，但随着病情逐步加重，多数患者将面临肢体功能障碍，严重者可致残。及时准确的筛查和诊断淋巴水肿是早治疗的基础，对防止疾病的恶化和提升治疗效果的至关重要。从研究通用数据</w:t>
      </w:r>
      <w:proofErr w:type="gramStart"/>
      <w:r w:rsidRPr="008C42C9">
        <w:rPr>
          <w:rFonts w:hAnsi="宋体" w:hint="eastAsia"/>
          <w:szCs w:val="21"/>
        </w:rPr>
        <w:t>集角度</w:t>
      </w:r>
      <w:proofErr w:type="gramEnd"/>
      <w:r w:rsidRPr="008C42C9">
        <w:rPr>
          <w:rFonts w:hAnsi="宋体" w:hint="eastAsia"/>
          <w:szCs w:val="21"/>
        </w:rPr>
        <w:t>来看，全球范尚无通用公开的淋巴系统疾病数据，淋巴水肿文本类辅助诊断通用数据</w:t>
      </w:r>
      <w:proofErr w:type="gramStart"/>
      <w:r w:rsidRPr="008C42C9">
        <w:rPr>
          <w:rFonts w:hAnsi="宋体" w:hint="eastAsia"/>
          <w:szCs w:val="21"/>
        </w:rPr>
        <w:t>集领域</w:t>
      </w:r>
      <w:proofErr w:type="gramEnd"/>
      <w:r w:rsidRPr="008C42C9">
        <w:rPr>
          <w:rFonts w:hAnsi="宋体" w:hint="eastAsia"/>
          <w:szCs w:val="21"/>
        </w:rPr>
        <w:t>完全空白。</w:t>
      </w:r>
    </w:p>
    <w:p w14:paraId="59DA2AC9" w14:textId="0B46892D" w:rsidR="00C75386" w:rsidRDefault="008C42C9" w:rsidP="008C42C9">
      <w:pPr>
        <w:pStyle w:val="afffffa"/>
        <w:ind w:firstLine="420"/>
        <w:rPr>
          <w:rFonts w:hAnsi="宋体"/>
          <w:szCs w:val="21"/>
        </w:rPr>
      </w:pPr>
      <w:r w:rsidRPr="008C42C9">
        <w:rPr>
          <w:rFonts w:hAnsi="宋体" w:hint="eastAsia"/>
          <w:szCs w:val="21"/>
        </w:rPr>
        <w:t>规范化的淋巴水肿数据集是支撑淋巴学科研究、推进学科向智能化发展的核心基石，也是促进临床医学+工程信息学+人工智能三元融合，形成同质性、可及性医疗服务开展的关键要素。本文件制定的淋巴水肿数据集数据采集要求，填补了目前世界范围内对淋巴水肿文本数据库及数据采集标准化的空白，对支撑产业界研发淋巴外科辅助诊断类人工智能医疗器械产品，推动人工智能技术在淋巴外科临床实际应用和持续健康发展具有重要意义</w:t>
      </w:r>
      <w:r>
        <w:rPr>
          <w:rFonts w:hint="eastAsia"/>
        </w:rPr>
        <w:t>。</w:t>
      </w:r>
    </w:p>
    <w:p w14:paraId="21A84A72" w14:textId="77777777" w:rsidR="00C75386" w:rsidRDefault="00C75386">
      <w:pPr>
        <w:pStyle w:val="afffffa"/>
        <w:ind w:firstLine="420"/>
        <w:rPr>
          <w:rFonts w:hAnsi="宋体"/>
          <w:szCs w:val="21"/>
        </w:rPr>
      </w:pPr>
    </w:p>
    <w:p w14:paraId="503CC0B1" w14:textId="77777777" w:rsidR="00C75386" w:rsidRDefault="00C75386">
      <w:pPr>
        <w:pStyle w:val="afffffa"/>
        <w:ind w:firstLine="420"/>
      </w:pPr>
    </w:p>
    <w:p w14:paraId="45B938DE" w14:textId="77777777" w:rsidR="00C75386" w:rsidRDefault="00C75386">
      <w:pPr>
        <w:pStyle w:val="afffffa"/>
        <w:ind w:firstLine="420"/>
        <w:sectPr w:rsidR="00C75386">
          <w:pgSz w:w="11906" w:h="16838"/>
          <w:pgMar w:top="2410" w:right="1134" w:bottom="1134" w:left="1134" w:header="1418" w:footer="1134" w:gutter="284"/>
          <w:pgNumType w:fmt="upperRoman"/>
          <w:cols w:space="425"/>
          <w:formProt w:val="0"/>
          <w:docGrid w:linePitch="312"/>
        </w:sectPr>
      </w:pPr>
    </w:p>
    <w:p w14:paraId="6DC76C12" w14:textId="77777777" w:rsidR="00C75386" w:rsidRDefault="00C75386">
      <w:pPr>
        <w:spacing w:line="20" w:lineRule="exact"/>
        <w:jc w:val="center"/>
        <w:rPr>
          <w:rFonts w:ascii="黑体" w:eastAsia="黑体" w:hAnsi="黑体"/>
          <w:sz w:val="32"/>
          <w:szCs w:val="32"/>
        </w:rPr>
      </w:pPr>
      <w:bookmarkStart w:id="13" w:name="BookMark4"/>
      <w:bookmarkEnd w:id="12"/>
    </w:p>
    <w:p w14:paraId="1689DD10" w14:textId="77777777" w:rsidR="00C75386" w:rsidRDefault="00C75386">
      <w:pPr>
        <w:spacing w:line="20" w:lineRule="exact"/>
        <w:jc w:val="center"/>
        <w:rPr>
          <w:rFonts w:ascii="黑体" w:eastAsia="黑体" w:hAnsi="黑体"/>
          <w:sz w:val="32"/>
          <w:szCs w:val="32"/>
        </w:rPr>
      </w:pPr>
    </w:p>
    <w:bookmarkStart w:id="14" w:name="NEW_STAND_NAME" w:displacedByCustomXml="next"/>
    <w:sdt>
      <w:sdtPr>
        <w:tag w:val="NEW_STAND_NAME"/>
        <w:id w:val="595910757"/>
        <w:lock w:val="sdtLocked"/>
        <w:placeholder>
          <w:docPart w:val="9A8A6A7C7E044B769DF5DD033C66DD3E"/>
        </w:placeholder>
      </w:sdtPr>
      <w:sdtContent>
        <w:p w14:paraId="6AF593EB" w14:textId="2845FC33" w:rsidR="009238FD" w:rsidRDefault="009238FD" w:rsidP="009238FD">
          <w:pPr>
            <w:pStyle w:val="afffffffffd"/>
            <w:spacing w:beforeLines="100" w:before="240" w:afterLines="220" w:after="528"/>
          </w:pPr>
          <w:r w:rsidRPr="009238FD">
            <w:rPr>
              <w:rFonts w:hint="eastAsia"/>
            </w:rPr>
            <w:t>淋巴水肿辅助诊断数据处理标准</w:t>
          </w:r>
        </w:p>
        <w:p w14:paraId="0A3E87BB" w14:textId="49579112" w:rsidR="00C75386" w:rsidRDefault="00000000">
          <w:pPr>
            <w:pStyle w:val="afffffffffd"/>
            <w:spacing w:beforeLines="100" w:before="240" w:afterLines="220" w:after="528"/>
            <w:outlineLvl w:val="0"/>
          </w:pPr>
        </w:p>
      </w:sdtContent>
    </w:sdt>
    <w:p w14:paraId="1BE9CF5A" w14:textId="77777777" w:rsidR="00C75386" w:rsidRDefault="00000000">
      <w:pPr>
        <w:pStyle w:val="affc"/>
        <w:spacing w:before="240" w:after="240"/>
        <w:outlineLvl w:val="1"/>
      </w:pPr>
      <w:bookmarkStart w:id="15" w:name="_Toc17233325"/>
      <w:bookmarkStart w:id="16" w:name="_Toc26986530"/>
      <w:bookmarkStart w:id="17" w:name="_Toc26648465"/>
      <w:bookmarkStart w:id="18" w:name="_Toc24884211"/>
      <w:bookmarkStart w:id="19" w:name="_Toc24884218"/>
      <w:bookmarkStart w:id="20" w:name="_Toc17233333"/>
      <w:bookmarkStart w:id="21" w:name="_Toc26718930"/>
      <w:bookmarkStart w:id="22" w:name="_Toc26986771"/>
      <w:bookmarkStart w:id="23" w:name="_Toc80192994"/>
      <w:bookmarkStart w:id="24" w:name="_Toc6118"/>
      <w:bookmarkStart w:id="25" w:name="_Toc3698"/>
      <w:bookmarkEnd w:id="14"/>
      <w:r>
        <w:rPr>
          <w:rFonts w:hint="eastAsia"/>
        </w:rPr>
        <w:t>范围</w:t>
      </w:r>
      <w:bookmarkEnd w:id="15"/>
      <w:bookmarkEnd w:id="16"/>
      <w:bookmarkEnd w:id="17"/>
      <w:bookmarkEnd w:id="18"/>
      <w:bookmarkEnd w:id="19"/>
      <w:bookmarkEnd w:id="20"/>
      <w:bookmarkEnd w:id="21"/>
      <w:bookmarkEnd w:id="22"/>
      <w:bookmarkEnd w:id="23"/>
      <w:bookmarkEnd w:id="24"/>
      <w:bookmarkEnd w:id="25"/>
    </w:p>
    <w:p w14:paraId="73C46EEF" w14:textId="77777777" w:rsidR="00C75386" w:rsidRDefault="00000000">
      <w:pPr>
        <w:pStyle w:val="afffffa"/>
        <w:ind w:firstLine="420"/>
      </w:pPr>
      <w:bookmarkStart w:id="26" w:name="_Toc26648466"/>
      <w:bookmarkStart w:id="27" w:name="_Toc24884219"/>
      <w:bookmarkStart w:id="28" w:name="_Toc24884212"/>
      <w:bookmarkStart w:id="29" w:name="_Toc17233334"/>
      <w:bookmarkStart w:id="30" w:name="_Toc17233326"/>
      <w:r>
        <w:rPr>
          <w:rFonts w:hint="eastAsia"/>
        </w:rPr>
        <w:t>本文件主要规定了淋巴水肿数据集建设中数据处理内容、数据处理过程、数据处理方法、数据处理安全与质控的关键内容。</w:t>
      </w:r>
    </w:p>
    <w:p w14:paraId="51E0AC5A" w14:textId="77777777" w:rsidR="00C75386" w:rsidRDefault="00000000">
      <w:pPr>
        <w:pStyle w:val="afffffa"/>
        <w:ind w:firstLine="420"/>
      </w:pPr>
      <w:r>
        <w:rPr>
          <w:rFonts w:hint="eastAsia"/>
        </w:rPr>
        <w:t>本文件适用于淋巴水肿AI（人工智能）医疗器械的研发、生产、检测过程中的训练、测试、评估数据</w:t>
      </w:r>
      <w:proofErr w:type="gramStart"/>
      <w:r>
        <w:rPr>
          <w:rFonts w:hint="eastAsia"/>
        </w:rPr>
        <w:t>集建立</w:t>
      </w:r>
      <w:proofErr w:type="gramEnd"/>
      <w:r>
        <w:rPr>
          <w:rFonts w:hint="eastAsia"/>
        </w:rPr>
        <w:t>及其评估。</w:t>
      </w:r>
    </w:p>
    <w:p w14:paraId="3340D755" w14:textId="77777777" w:rsidR="00C75386" w:rsidRDefault="00000000">
      <w:pPr>
        <w:pStyle w:val="affc"/>
        <w:spacing w:before="240" w:after="240"/>
        <w:outlineLvl w:val="1"/>
      </w:pPr>
      <w:bookmarkStart w:id="31" w:name="_Toc80192995"/>
      <w:bookmarkStart w:id="32" w:name="_Toc26986531"/>
      <w:bookmarkStart w:id="33" w:name="_Toc26986772"/>
      <w:bookmarkStart w:id="34" w:name="_Toc26718931"/>
      <w:bookmarkStart w:id="35" w:name="_Toc28728"/>
      <w:bookmarkStart w:id="36" w:name="_Toc26759"/>
      <w:r>
        <w:rPr>
          <w:rFonts w:hint="eastAsia"/>
        </w:rPr>
        <w:t>规范性引用文件</w:t>
      </w:r>
      <w:bookmarkEnd w:id="26"/>
      <w:bookmarkEnd w:id="27"/>
      <w:bookmarkEnd w:id="28"/>
      <w:bookmarkEnd w:id="29"/>
      <w:bookmarkEnd w:id="30"/>
      <w:bookmarkEnd w:id="31"/>
      <w:bookmarkEnd w:id="32"/>
      <w:bookmarkEnd w:id="33"/>
      <w:bookmarkEnd w:id="34"/>
      <w:bookmarkEnd w:id="35"/>
      <w:bookmarkEnd w:id="36"/>
    </w:p>
    <w:sdt>
      <w:sdtPr>
        <w:rPr>
          <w:rFonts w:hint="eastAsia"/>
        </w:rPr>
        <w:id w:val="715848253"/>
        <w:placeholder>
          <w:docPart w:val="EFA7950F216D4DFF8C3454823B9F24F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9919B2A" w14:textId="77777777" w:rsidR="00C75386" w:rsidRDefault="00000000">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1FA7871" w14:textId="77777777" w:rsidR="00C75386" w:rsidRDefault="00000000">
      <w:pPr>
        <w:pStyle w:val="afffffa"/>
        <w:ind w:firstLine="420"/>
      </w:pPr>
      <w:r>
        <w:rPr>
          <w:rFonts w:hint="eastAsia"/>
        </w:rPr>
        <w:t>GB/T 5271.1 信息技术 词汇 第1部分：基本术语</w:t>
      </w:r>
    </w:p>
    <w:p w14:paraId="40EB6D41" w14:textId="77777777" w:rsidR="00C75386" w:rsidRDefault="00000000">
      <w:pPr>
        <w:pStyle w:val="afffffa"/>
        <w:ind w:firstLine="420"/>
      </w:pPr>
      <w:r>
        <w:t xml:space="preserve">YY/T 1833.1 </w:t>
      </w:r>
      <w:r>
        <w:rPr>
          <w:rFonts w:hint="eastAsia"/>
        </w:rPr>
        <w:t xml:space="preserve">人工智能医疗器械 质量要求和评价 第 </w:t>
      </w:r>
      <w:r>
        <w:t xml:space="preserve">1 </w:t>
      </w:r>
      <w:r>
        <w:rPr>
          <w:rFonts w:hint="eastAsia"/>
        </w:rPr>
        <w:t>部分：术语</w:t>
      </w:r>
    </w:p>
    <w:p w14:paraId="22CB272A" w14:textId="77777777" w:rsidR="00C75386" w:rsidRDefault="00000000">
      <w:pPr>
        <w:pStyle w:val="afffffa"/>
        <w:ind w:firstLine="420"/>
      </w:pPr>
      <w:r>
        <w:t>YY/T 1833.2</w:t>
      </w:r>
      <w:r>
        <w:rPr>
          <w:rFonts w:hint="eastAsia"/>
        </w:rPr>
        <w:t xml:space="preserve"> 人工智能医疗器械 质量要求和评价 第 2 部分：数据集通用要求</w:t>
      </w:r>
    </w:p>
    <w:p w14:paraId="66AA33D9" w14:textId="77777777" w:rsidR="00C75386" w:rsidRDefault="00000000">
      <w:pPr>
        <w:pStyle w:val="affc"/>
        <w:spacing w:before="240" w:after="240"/>
        <w:outlineLvl w:val="1"/>
      </w:pPr>
      <w:bookmarkStart w:id="37" w:name="_Toc80192996"/>
      <w:bookmarkStart w:id="38" w:name="_Toc16017"/>
      <w:bookmarkStart w:id="39" w:name="_Toc17257"/>
      <w:r>
        <w:rPr>
          <w:rFonts w:hint="eastAsia"/>
          <w:szCs w:val="21"/>
        </w:rPr>
        <w:t>术语和定义</w:t>
      </w:r>
      <w:bookmarkEnd w:id="37"/>
      <w:bookmarkEnd w:id="38"/>
      <w:bookmarkEnd w:id="39"/>
    </w:p>
    <w:bookmarkStart w:id="40" w:name="_Toc26986532" w:displacedByCustomXml="next"/>
    <w:bookmarkEnd w:id="40" w:displacedByCustomXml="next"/>
    <w:sdt>
      <w:sdtPr>
        <w:id w:val="-1909835108"/>
        <w:placeholder>
          <w:docPart w:val="32394A53A28749C59EADAC5A1C4EE9A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2A93F183" w14:textId="77777777" w:rsidR="00C75386" w:rsidRDefault="00000000">
          <w:pPr>
            <w:pStyle w:val="afffffa"/>
            <w:ind w:firstLine="420"/>
          </w:pPr>
          <w:r>
            <w:t>下列术语和定义适用于本文件。</w:t>
          </w:r>
        </w:p>
      </w:sdtContent>
    </w:sdt>
    <w:p w14:paraId="08A4F4BA" w14:textId="77777777" w:rsidR="00C75386" w:rsidRDefault="00C75386">
      <w:pPr>
        <w:pStyle w:val="afffffa"/>
        <w:ind w:firstLine="420"/>
      </w:pPr>
    </w:p>
    <w:p w14:paraId="3B4D37A5" w14:textId="77777777" w:rsidR="00C75386" w:rsidRDefault="00C75386">
      <w:pPr>
        <w:pStyle w:val="afffffffffff9"/>
        <w:ind w:left="420" w:hangingChars="200" w:hanging="420"/>
        <w:rPr>
          <w:rFonts w:ascii="黑体" w:eastAsia="黑体" w:hAnsi="黑体"/>
        </w:rPr>
      </w:pPr>
    </w:p>
    <w:p w14:paraId="1C5C9800" w14:textId="77777777" w:rsidR="00C75386" w:rsidRDefault="00000000">
      <w:pPr>
        <w:pStyle w:val="afffffffffff9"/>
        <w:numPr>
          <w:ilvl w:val="2"/>
          <w:numId w:val="0"/>
        </w:numPr>
        <w:ind w:firstLineChars="200" w:firstLine="420"/>
        <w:rPr>
          <w:rFonts w:ascii="黑体" w:eastAsia="黑体" w:hAnsi="黑体"/>
        </w:rPr>
      </w:pPr>
      <w:r>
        <w:rPr>
          <w:rFonts w:ascii="黑体" w:eastAsia="黑体" w:hAnsi="黑体" w:hint="eastAsia"/>
        </w:rPr>
        <w:t>数据采集 data acquisition</w:t>
      </w:r>
    </w:p>
    <w:p w14:paraId="273FF06C" w14:textId="77777777" w:rsidR="00C75386" w:rsidRDefault="00000000">
      <w:pPr>
        <w:pStyle w:val="afffffa"/>
        <w:ind w:firstLine="420"/>
      </w:pPr>
      <w:r>
        <w:rPr>
          <w:rFonts w:hint="eastAsia"/>
        </w:rPr>
        <w:t>从数据源中得到原始数据，通过标准化处理并转化为满足数据共享和利用需求的过程。</w:t>
      </w:r>
    </w:p>
    <w:p w14:paraId="5AF73075" w14:textId="77777777" w:rsidR="00C75386" w:rsidRDefault="00C75386">
      <w:pPr>
        <w:pStyle w:val="afffffffffff9"/>
        <w:ind w:left="420" w:hangingChars="200" w:hanging="420"/>
        <w:rPr>
          <w:rFonts w:ascii="黑体" w:eastAsia="黑体" w:hAnsi="黑体"/>
        </w:rPr>
      </w:pPr>
    </w:p>
    <w:p w14:paraId="580ACE72" w14:textId="77777777" w:rsidR="00C75386" w:rsidRDefault="00000000">
      <w:pPr>
        <w:pStyle w:val="afffffffffff9"/>
        <w:numPr>
          <w:ilvl w:val="2"/>
          <w:numId w:val="0"/>
        </w:numPr>
        <w:ind w:firstLineChars="200" w:firstLine="420"/>
        <w:rPr>
          <w:rFonts w:ascii="黑体" w:eastAsia="黑体" w:hAnsi="黑体"/>
        </w:rPr>
      </w:pPr>
      <w:r>
        <w:rPr>
          <w:rFonts w:ascii="黑体" w:eastAsia="黑体" w:hAnsi="黑体" w:hint="eastAsia"/>
        </w:rPr>
        <w:t>数据处理 data processing</w:t>
      </w:r>
    </w:p>
    <w:p w14:paraId="319ED25E" w14:textId="77777777" w:rsidR="00C75386" w:rsidRDefault="00000000">
      <w:pPr>
        <w:pStyle w:val="afffffa"/>
        <w:ind w:firstLine="420"/>
      </w:pPr>
      <w:r>
        <w:rPr>
          <w:rFonts w:hint="eastAsia"/>
        </w:rPr>
        <w:t>对数据进行分析和加工的技术过程，也是对数据的采集、存储、检索、加工、变换和传输，使数据转换为有效信息的过程。</w:t>
      </w:r>
    </w:p>
    <w:p w14:paraId="34F929A7" w14:textId="77777777" w:rsidR="00C75386" w:rsidRDefault="00C75386">
      <w:pPr>
        <w:pStyle w:val="afffffffffff9"/>
        <w:ind w:left="420" w:hangingChars="200" w:hanging="420"/>
        <w:rPr>
          <w:rFonts w:ascii="黑体" w:eastAsia="黑体" w:hAnsi="黑体"/>
        </w:rPr>
      </w:pPr>
    </w:p>
    <w:p w14:paraId="55BFCCC6" w14:textId="77777777" w:rsidR="00C75386" w:rsidRDefault="00000000">
      <w:pPr>
        <w:pStyle w:val="afffffffffff9"/>
        <w:numPr>
          <w:ilvl w:val="2"/>
          <w:numId w:val="0"/>
        </w:numPr>
        <w:ind w:firstLineChars="200" w:firstLine="420"/>
        <w:rPr>
          <w:rFonts w:ascii="黑体" w:eastAsia="黑体" w:hAnsi="黑体"/>
        </w:rPr>
      </w:pPr>
      <w:r>
        <w:rPr>
          <w:rFonts w:ascii="黑体" w:eastAsia="黑体" w:hAnsi="黑体" w:hint="eastAsia"/>
        </w:rPr>
        <w:t>数据脱敏 data masking</w:t>
      </w:r>
    </w:p>
    <w:p w14:paraId="3A1FB15B" w14:textId="77777777" w:rsidR="00C75386" w:rsidRDefault="00000000">
      <w:pPr>
        <w:pStyle w:val="afffffa"/>
        <w:ind w:firstLine="420"/>
      </w:pPr>
      <w:r>
        <w:rPr>
          <w:rFonts w:hint="eastAsia"/>
        </w:rPr>
        <w:t>对数据中某些铭感信息通过脱敏规则进行数据的变形，实现敏感隐私数据的可靠保护。</w:t>
      </w:r>
    </w:p>
    <w:p w14:paraId="6CE3B956" w14:textId="77777777" w:rsidR="00C75386" w:rsidRDefault="00C75386">
      <w:pPr>
        <w:pStyle w:val="afffffffffff9"/>
        <w:ind w:left="420" w:hangingChars="200" w:hanging="420"/>
        <w:rPr>
          <w:rFonts w:ascii="黑体" w:eastAsia="黑体" w:hAnsi="黑体"/>
        </w:rPr>
      </w:pPr>
    </w:p>
    <w:p w14:paraId="774A0ACE" w14:textId="77777777" w:rsidR="00C75386" w:rsidRDefault="00000000">
      <w:pPr>
        <w:pStyle w:val="afffffffffff9"/>
        <w:numPr>
          <w:ilvl w:val="2"/>
          <w:numId w:val="0"/>
        </w:numPr>
        <w:ind w:firstLineChars="200" w:firstLine="420"/>
        <w:rPr>
          <w:rFonts w:ascii="黑体" w:eastAsia="黑体" w:hAnsi="黑体"/>
        </w:rPr>
      </w:pPr>
      <w:r>
        <w:rPr>
          <w:rFonts w:ascii="黑体" w:eastAsia="黑体" w:hAnsi="黑体" w:hint="eastAsia"/>
        </w:rPr>
        <w:t>数据清洗 data cleaning</w:t>
      </w:r>
    </w:p>
    <w:p w14:paraId="6E8D76B2" w14:textId="77777777" w:rsidR="00C75386" w:rsidRDefault="00000000">
      <w:pPr>
        <w:pStyle w:val="afffffa"/>
        <w:ind w:firstLine="420"/>
      </w:pPr>
      <w:r>
        <w:rPr>
          <w:rFonts w:hint="eastAsia"/>
        </w:rPr>
        <w:t>发现并纠正数据文件中可识别错误的过程，将数据中重复、多余部分的数据进行筛选并清除，把缺失部分的数据补充完整，将不正确的数据纠正或删除。</w:t>
      </w:r>
    </w:p>
    <w:p w14:paraId="440F803A" w14:textId="77777777" w:rsidR="00C75386" w:rsidRDefault="00C75386">
      <w:pPr>
        <w:pStyle w:val="afffffffffff9"/>
        <w:ind w:left="420" w:hangingChars="200" w:hanging="420"/>
        <w:rPr>
          <w:rFonts w:ascii="黑体" w:eastAsia="黑体" w:hAnsi="黑体"/>
        </w:rPr>
      </w:pPr>
    </w:p>
    <w:p w14:paraId="21B70AC3" w14:textId="77777777" w:rsidR="00C75386" w:rsidRDefault="00000000">
      <w:pPr>
        <w:pStyle w:val="afffffffffff9"/>
        <w:numPr>
          <w:ilvl w:val="2"/>
          <w:numId w:val="0"/>
        </w:numPr>
        <w:ind w:firstLineChars="200" w:firstLine="420"/>
        <w:rPr>
          <w:rFonts w:ascii="黑体" w:eastAsia="黑体" w:hAnsi="黑体"/>
        </w:rPr>
      </w:pPr>
      <w:r>
        <w:rPr>
          <w:rFonts w:ascii="黑体" w:eastAsia="黑体" w:hAnsi="黑体" w:hint="eastAsia"/>
        </w:rPr>
        <w:t>数据加密 data encryption</w:t>
      </w:r>
    </w:p>
    <w:p w14:paraId="06249E94" w14:textId="77777777" w:rsidR="00C75386" w:rsidRDefault="00000000">
      <w:pPr>
        <w:pStyle w:val="afffffa"/>
        <w:ind w:firstLine="420"/>
      </w:pPr>
      <w:r>
        <w:rPr>
          <w:rFonts w:hint="eastAsia"/>
        </w:rPr>
        <w:t>将数据信息经过加密钥匙及加密函数转换，变成无意义的密文，数据接收方可通过解密函数、解密钥匙进行数据还原的过程。</w:t>
      </w:r>
    </w:p>
    <w:p w14:paraId="45E44F09" w14:textId="77777777" w:rsidR="00C75386" w:rsidRDefault="00C75386">
      <w:pPr>
        <w:pStyle w:val="afffffffffff9"/>
        <w:numPr>
          <w:ilvl w:val="2"/>
          <w:numId w:val="0"/>
        </w:numPr>
        <w:ind w:firstLineChars="200" w:firstLine="420"/>
        <w:rPr>
          <w:rFonts w:ascii="黑体" w:eastAsia="黑体" w:hAnsi="黑体"/>
          <w:highlight w:val="yellow"/>
        </w:rPr>
      </w:pPr>
    </w:p>
    <w:p w14:paraId="49B29FAD" w14:textId="77777777" w:rsidR="00C75386" w:rsidRDefault="00000000">
      <w:pPr>
        <w:pStyle w:val="affc"/>
        <w:spacing w:before="240" w:after="240"/>
        <w:outlineLvl w:val="1"/>
      </w:pPr>
      <w:bookmarkStart w:id="41" w:name="_Toc80192998"/>
      <w:bookmarkStart w:id="42" w:name="_Toc6152"/>
      <w:bookmarkStart w:id="43" w:name="_Toc15188"/>
      <w:r>
        <w:rPr>
          <w:rFonts w:hint="eastAsia"/>
        </w:rPr>
        <w:lastRenderedPageBreak/>
        <w:t>数据</w:t>
      </w:r>
      <w:bookmarkEnd w:id="41"/>
      <w:r>
        <w:rPr>
          <w:rFonts w:hint="eastAsia"/>
        </w:rPr>
        <w:t>处理过程</w:t>
      </w:r>
      <w:bookmarkEnd w:id="42"/>
      <w:bookmarkEnd w:id="43"/>
    </w:p>
    <w:p w14:paraId="64A4845D" w14:textId="77777777" w:rsidR="00C75386" w:rsidRDefault="00000000">
      <w:pPr>
        <w:pStyle w:val="affd"/>
        <w:spacing w:before="120" w:after="120"/>
      </w:pPr>
      <w:bookmarkStart w:id="44" w:name="_Toc80192999"/>
      <w:bookmarkStart w:id="45" w:name="_Toc11796"/>
      <w:r>
        <w:rPr>
          <w:rFonts w:hint="eastAsia"/>
        </w:rPr>
        <w:t>数据</w:t>
      </w:r>
      <w:bookmarkEnd w:id="44"/>
      <w:r>
        <w:rPr>
          <w:rFonts w:hint="eastAsia"/>
        </w:rPr>
        <w:t>准备工作</w:t>
      </w:r>
      <w:bookmarkEnd w:id="45"/>
    </w:p>
    <w:p w14:paraId="1676DFCB" w14:textId="77777777" w:rsidR="00C75386" w:rsidRDefault="00000000">
      <w:pPr>
        <w:pStyle w:val="afffffa"/>
        <w:ind w:firstLine="420"/>
      </w:pPr>
      <w:r>
        <w:rPr>
          <w:rFonts w:hint="eastAsia"/>
        </w:rPr>
        <w:t>数据处理开始前，先要进行数据准备，</w:t>
      </w:r>
      <w:proofErr w:type="gramStart"/>
      <w:r>
        <w:rPr>
          <w:rFonts w:hint="eastAsia"/>
        </w:rPr>
        <w:t>明确待</w:t>
      </w:r>
      <w:proofErr w:type="gramEnd"/>
      <w:r>
        <w:rPr>
          <w:rFonts w:hint="eastAsia"/>
        </w:rPr>
        <w:t>处理的数据内容、数据格式等，并进行分类汇总，以便正式数据处理所需。</w:t>
      </w:r>
    </w:p>
    <w:p w14:paraId="697439D2" w14:textId="77777777" w:rsidR="00C75386" w:rsidRDefault="00000000">
      <w:pPr>
        <w:spacing w:line="240" w:lineRule="auto"/>
        <w:ind w:firstLineChars="200" w:firstLine="420"/>
        <w:rPr>
          <w:rFonts w:ascii="宋体" w:hAnsi="Times New Roman"/>
          <w:kern w:val="0"/>
          <w:szCs w:val="20"/>
        </w:rPr>
      </w:pPr>
      <w:r>
        <w:rPr>
          <w:rFonts w:ascii="宋体" w:hAnsi="Times New Roman" w:hint="eastAsia"/>
          <w:kern w:val="0"/>
          <w:szCs w:val="20"/>
        </w:rPr>
        <w:t>本标准涉及处理的淋巴水肿电子病历，参考国家电子病历及信息化行业标准以及领域诊疗指南，数据内容包含11个模块分类，263个数据元字段。具体的数据元字段如下：</w:t>
      </w:r>
    </w:p>
    <w:p w14:paraId="2ADB2DA5" w14:textId="77777777" w:rsidR="00C75386"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基本信息：包括患者标识、性别、出生日期、年龄、民族、身高、体重等。</w:t>
      </w:r>
    </w:p>
    <w:p w14:paraId="3572CC30" w14:textId="77777777" w:rsidR="00C75386"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就诊记录：包括入院日期、出院日期、入院科室、出院科室、就诊日期、就诊科室等。</w:t>
      </w:r>
    </w:p>
    <w:p w14:paraId="10101E97" w14:textId="77777777" w:rsidR="00C75386"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现病史：包括患者主诉信息等。</w:t>
      </w:r>
    </w:p>
    <w:p w14:paraId="55722F77" w14:textId="77777777" w:rsidR="00C75386"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既往史：包括既往相关手术史，放</w:t>
      </w:r>
      <w:proofErr w:type="gramStart"/>
      <w:r>
        <w:rPr>
          <w:rFonts w:ascii="宋体" w:hAnsi="Times New Roman" w:hint="eastAsia"/>
          <w:kern w:val="0"/>
          <w:szCs w:val="20"/>
        </w:rPr>
        <w:t>化疗史</w:t>
      </w:r>
      <w:proofErr w:type="gramEnd"/>
      <w:r>
        <w:rPr>
          <w:rFonts w:ascii="宋体" w:hAnsi="Times New Roman" w:hint="eastAsia"/>
          <w:kern w:val="0"/>
          <w:szCs w:val="20"/>
        </w:rPr>
        <w:t>以及治疗史。</w:t>
      </w:r>
    </w:p>
    <w:p w14:paraId="1893D34E" w14:textId="77777777" w:rsidR="00C75386"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个人史：是否有吸烟史、饮酒史等。</w:t>
      </w:r>
    </w:p>
    <w:p w14:paraId="7A1E2076" w14:textId="77777777" w:rsidR="00C75386"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家族史：包括家族疾病名称、家族疾病亲属关系以及患病年龄等。</w:t>
      </w:r>
    </w:p>
    <w:p w14:paraId="70D059DB" w14:textId="77777777" w:rsidR="00C75386"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体格检查：包括检查部位、检查结果、异常描述等。</w:t>
      </w:r>
    </w:p>
    <w:p w14:paraId="041424AB" w14:textId="77777777" w:rsidR="00C75386"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专科检查：受累部位，皮肤颜色、肿胀是否可</w:t>
      </w:r>
      <w:proofErr w:type="gramStart"/>
      <w:r>
        <w:rPr>
          <w:rFonts w:ascii="宋体" w:hAnsi="Times New Roman" w:hint="eastAsia"/>
          <w:kern w:val="0"/>
          <w:szCs w:val="20"/>
        </w:rPr>
        <w:t>凹</w:t>
      </w:r>
      <w:proofErr w:type="gramEnd"/>
      <w:r>
        <w:rPr>
          <w:rFonts w:ascii="宋体" w:hAnsi="Times New Roman" w:hint="eastAsia"/>
          <w:kern w:val="0"/>
          <w:szCs w:val="20"/>
        </w:rPr>
        <w:t>、纤维化、皮温、关节、活动、合并畸形。包括肢体测量的数据。</w:t>
      </w:r>
    </w:p>
    <w:p w14:paraId="13CF5C36" w14:textId="6D94A6D5" w:rsidR="00C75386"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诊断：包括</w:t>
      </w:r>
      <w:r w:rsidR="00E85D38">
        <w:rPr>
          <w:rFonts w:ascii="宋体" w:hAnsi="Times New Roman" w:hint="eastAsia"/>
          <w:kern w:val="0"/>
          <w:szCs w:val="20"/>
        </w:rPr>
        <w:t>淋巴</w:t>
      </w:r>
      <w:r w:rsidR="00E85D38" w:rsidRPr="00E85D38">
        <w:rPr>
          <w:rFonts w:ascii="宋体" w:hAnsi="Times New Roman" w:hint="eastAsia"/>
          <w:kern w:val="0"/>
          <w:szCs w:val="20"/>
        </w:rPr>
        <w:t>水肿</w:t>
      </w:r>
      <w:r w:rsidRPr="00E85D38">
        <w:rPr>
          <w:rFonts w:ascii="宋体" w:hAnsi="Times New Roman" w:hint="eastAsia"/>
          <w:kern w:val="0"/>
          <w:szCs w:val="20"/>
        </w:rPr>
        <w:t>诊断ICD-10编码、</w:t>
      </w:r>
      <w:proofErr w:type="gramStart"/>
      <w:r w:rsidRPr="00E85D38">
        <w:rPr>
          <w:rFonts w:ascii="宋体" w:hAnsi="Times New Roman" w:hint="eastAsia"/>
          <w:kern w:val="0"/>
          <w:szCs w:val="20"/>
        </w:rPr>
        <w:t>共病诊断</w:t>
      </w:r>
      <w:proofErr w:type="gramEnd"/>
      <w:r w:rsidRPr="00E85D38">
        <w:rPr>
          <w:rFonts w:ascii="宋体" w:hAnsi="Times New Roman" w:hint="eastAsia"/>
          <w:kern w:val="0"/>
          <w:szCs w:val="20"/>
        </w:rPr>
        <w:t>等</w:t>
      </w:r>
      <w:r>
        <w:rPr>
          <w:rFonts w:ascii="宋体" w:hAnsi="Times New Roman" w:hint="eastAsia"/>
          <w:kern w:val="0"/>
          <w:szCs w:val="20"/>
        </w:rPr>
        <w:t>。</w:t>
      </w:r>
    </w:p>
    <w:p w14:paraId="15113DEA" w14:textId="77777777" w:rsidR="00C75386"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实验室检查：包括检验日期、检验项目名称、检验定性结果、检验定量结果、检验定量结果单位、检验结论；检验细类包括</w:t>
      </w:r>
      <w:bookmarkStart w:id="46" w:name="_Hlk58868477"/>
      <w:r>
        <w:rPr>
          <w:rFonts w:ascii="宋体" w:hAnsi="Times New Roman" w:hint="eastAsia"/>
          <w:kern w:val="0"/>
          <w:szCs w:val="20"/>
        </w:rPr>
        <w:t>血常规（红细胞计数、血红蛋白、红细胞压积、平均红细胞体积、平均红细胞HGB含量、平均红细胞HGB浓度、RBC分布宽度SD、RBC分布宽度CV、血小板计数、白细胞计数、中性分叶核粒细胞百分率、淋巴细胞百分率、单核细胞百分率、嗜酸性粒细胞百分率、嗜碱性粒细胞百分率、原始细胞百分率、中性分叶核粒细胞绝对值、淋巴细胞绝对值、单核细胞绝对值、嗜酸细胞绝对值、嗜碱细胞绝对值）；血生化（总胆红素、直接胆红素、间接胆红素、丙氨酸氨基转移酶、门冬氨酸氨基转移酶、AST/ALT、总蛋白、白蛋白、球蛋白、白球比例、葡萄糖、尿素、肌</w:t>
      </w:r>
      <w:proofErr w:type="gramStart"/>
      <w:r>
        <w:rPr>
          <w:rFonts w:ascii="宋体" w:hAnsi="Times New Roman" w:hint="eastAsia"/>
          <w:kern w:val="0"/>
          <w:szCs w:val="20"/>
        </w:rPr>
        <w:t>酐</w:t>
      </w:r>
      <w:proofErr w:type="gramEnd"/>
      <w:r>
        <w:rPr>
          <w:rFonts w:ascii="宋体" w:hAnsi="Times New Roman" w:hint="eastAsia"/>
          <w:kern w:val="0"/>
          <w:szCs w:val="20"/>
        </w:rPr>
        <w:t>、估算肾小球滤过率、血清</w:t>
      </w:r>
      <w:proofErr w:type="gramStart"/>
      <w:r>
        <w:rPr>
          <w:rFonts w:ascii="宋体" w:hAnsi="Times New Roman" w:hint="eastAsia"/>
          <w:kern w:val="0"/>
          <w:szCs w:val="20"/>
        </w:rPr>
        <w:t>胱</w:t>
      </w:r>
      <w:proofErr w:type="gramEnd"/>
      <w:r>
        <w:rPr>
          <w:rFonts w:ascii="宋体" w:hAnsi="Times New Roman" w:hint="eastAsia"/>
          <w:kern w:val="0"/>
          <w:szCs w:val="20"/>
        </w:rPr>
        <w:t>抑素C测定、尿酸、甘油三酯、胆固醇、高密度脂蛋白、低密度脂蛋白、碱性磷酸酶、谷氨酰转肽酶、肌酸激酶、乳酸脱氢酶、羟丁酸脱氢酶、钠、钾、氯、二氧化碳结合力、阴离子间隙、血清β羟基丁酸测定、血钙、血镁、血清无机磷、总胆汁酸）；小便常规（外观检查：颜色、浊度；尿液化学分析：比重、酸碱度、隐血、白细胞、尿蛋白定性、尿葡萄糖、尿胆原定性、尿胆红素定性、酮体定性、亚硝酸盐；尿沉渣定量分析：红细胞、白细胞、上皮细胞、管型、病理管型、细菌电导率；尿沉渣镜检：白细胞、红细胞、脓细胞、粘液丝、一般上皮细胞、小圆上皮细胞、颗粒管型）；大便常规（外观检查：颜色、性状；镜检：白细胞、红细胞、脓细胞、吞噬细胞、淀粉颗粒、脂肪滴、似酵母菌、隐血）；肿瘤标记物（CEA、AFP、CA19-9、CA-50、CA-125、CA-153、CA-724、SCC）等。</w:t>
      </w:r>
    </w:p>
    <w:bookmarkEnd w:id="46"/>
    <w:p w14:paraId="5180F99F" w14:textId="77777777" w:rsidR="00C75386"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影像学检查：包括淋巴核素显像、MRI检查、超声检查（检查日期、检查名称、检查部位、检查结果、检查结论）等。</w:t>
      </w:r>
    </w:p>
    <w:p w14:paraId="5BF52AC4" w14:textId="77777777" w:rsidR="00C75386" w:rsidRDefault="00C75386">
      <w:pPr>
        <w:pStyle w:val="affffffffffff1"/>
        <w:spacing w:line="240" w:lineRule="auto"/>
        <w:ind w:firstLineChars="0" w:firstLine="0"/>
        <w:rPr>
          <w:rFonts w:ascii="宋体" w:hAnsi="Times New Roman"/>
          <w:kern w:val="0"/>
          <w:szCs w:val="20"/>
        </w:rPr>
      </w:pPr>
    </w:p>
    <w:p w14:paraId="67769185" w14:textId="77777777" w:rsidR="00C75386" w:rsidRDefault="00000000">
      <w:pPr>
        <w:pStyle w:val="affd"/>
        <w:spacing w:before="120" w:after="120"/>
      </w:pPr>
      <w:bookmarkStart w:id="47" w:name="_Toc10684"/>
      <w:r>
        <w:rPr>
          <w:rFonts w:hint="eastAsia"/>
        </w:rPr>
        <w:t>数据脱敏标准</w:t>
      </w:r>
      <w:bookmarkEnd w:id="47"/>
    </w:p>
    <w:p w14:paraId="4AB97FDF" w14:textId="77777777" w:rsidR="00C75386" w:rsidRDefault="00000000">
      <w:pPr>
        <w:pStyle w:val="affe"/>
        <w:spacing w:before="120" w:after="120"/>
      </w:pPr>
      <w:r>
        <w:rPr>
          <w:rFonts w:hint="eastAsia"/>
        </w:rPr>
        <w:t>数据脱敏范围</w:t>
      </w:r>
    </w:p>
    <w:p w14:paraId="496B5EB6" w14:textId="77777777" w:rsidR="00C75386" w:rsidRDefault="00000000">
      <w:pPr>
        <w:spacing w:line="240" w:lineRule="auto"/>
        <w:ind w:firstLineChars="200" w:firstLine="420"/>
        <w:rPr>
          <w:rFonts w:ascii="宋体" w:hAnsi="Times New Roman"/>
          <w:kern w:val="0"/>
          <w:szCs w:val="20"/>
        </w:rPr>
      </w:pPr>
      <w:r>
        <w:rPr>
          <w:rFonts w:ascii="宋体" w:hAnsi="Times New Roman" w:hint="eastAsia"/>
          <w:kern w:val="0"/>
          <w:szCs w:val="20"/>
        </w:rPr>
        <w:t>首先明确数据集使用的数据必须是获得医院伦理委员会批准或者豁免的临床脱敏数据，患者的隐私保护应当满足法规的要求，保证数据脱敏、患者隐私安全和患者利益，</w:t>
      </w:r>
      <w:proofErr w:type="gramStart"/>
      <w:r>
        <w:rPr>
          <w:rFonts w:ascii="宋体" w:hAnsi="Times New Roman" w:hint="eastAsia"/>
          <w:kern w:val="0"/>
          <w:szCs w:val="20"/>
        </w:rPr>
        <w:t>故数据</w:t>
      </w:r>
      <w:proofErr w:type="gramEnd"/>
      <w:r>
        <w:rPr>
          <w:rFonts w:ascii="宋体" w:hAnsi="Times New Roman" w:hint="eastAsia"/>
          <w:kern w:val="0"/>
          <w:szCs w:val="20"/>
        </w:rPr>
        <w:t>应严格遵循法规和医院数据管理规范要求进行脱敏处理。</w:t>
      </w:r>
    </w:p>
    <w:p w14:paraId="371D37A5" w14:textId="77777777" w:rsidR="00C75386" w:rsidRDefault="00000000">
      <w:pPr>
        <w:spacing w:line="240" w:lineRule="auto"/>
        <w:ind w:firstLineChars="200" w:firstLine="420"/>
        <w:rPr>
          <w:rFonts w:ascii="宋体" w:hAnsi="Times New Roman"/>
          <w:kern w:val="0"/>
          <w:szCs w:val="20"/>
        </w:rPr>
      </w:pPr>
      <w:r>
        <w:rPr>
          <w:rFonts w:ascii="宋体" w:hAnsi="Times New Roman" w:hint="eastAsia"/>
          <w:kern w:val="0"/>
          <w:szCs w:val="20"/>
        </w:rPr>
        <w:t>依据待处理数据的内容，确定数据脱敏范围包含：病人姓名、年龄、性别、ID号、检查日期、出入院日期等涉及敏感信息的数据。</w:t>
      </w:r>
    </w:p>
    <w:p w14:paraId="76EC9260" w14:textId="77777777" w:rsidR="00C75386" w:rsidRDefault="00C75386">
      <w:pPr>
        <w:spacing w:line="240" w:lineRule="auto"/>
        <w:ind w:firstLineChars="200" w:firstLine="420"/>
        <w:rPr>
          <w:rFonts w:ascii="宋体" w:hAnsi="Times New Roman"/>
          <w:kern w:val="0"/>
          <w:szCs w:val="20"/>
        </w:rPr>
      </w:pPr>
    </w:p>
    <w:p w14:paraId="6CB85A1E" w14:textId="77777777" w:rsidR="00C75386" w:rsidRDefault="00000000">
      <w:pPr>
        <w:pStyle w:val="affe"/>
        <w:spacing w:before="120" w:after="120"/>
      </w:pPr>
      <w:r>
        <w:rPr>
          <w:rFonts w:hint="eastAsia"/>
        </w:rPr>
        <w:lastRenderedPageBreak/>
        <w:t>脱敏方法</w:t>
      </w:r>
    </w:p>
    <w:p w14:paraId="77662ACE" w14:textId="77777777" w:rsidR="00C75386" w:rsidRDefault="00000000">
      <w:pPr>
        <w:pStyle w:val="afff"/>
        <w:spacing w:before="120" w:after="120"/>
      </w:pPr>
      <w:r>
        <w:rPr>
          <w:rFonts w:hint="eastAsia"/>
        </w:rPr>
        <w:t>姓名去标识</w:t>
      </w:r>
    </w:p>
    <w:p w14:paraId="25850F0F" w14:textId="77777777" w:rsidR="00C75386" w:rsidRDefault="00000000">
      <w:pPr>
        <w:spacing w:line="240" w:lineRule="auto"/>
        <w:ind w:left="480"/>
        <w:rPr>
          <w:rFonts w:ascii="Times New Roman" w:hAnsi="Times New Roman"/>
        </w:rPr>
      </w:pPr>
      <w:r>
        <w:rPr>
          <w:rFonts w:ascii="Times New Roman" w:hAnsi="Times New Roman"/>
        </w:rPr>
        <w:t>姓名是一种常用的标识符</w:t>
      </w:r>
      <w:r>
        <w:rPr>
          <w:rFonts w:ascii="Times New Roman" w:hAnsi="Times New Roman" w:hint="eastAsia"/>
        </w:rPr>
        <w:t>，</w:t>
      </w:r>
      <w:r>
        <w:rPr>
          <w:rFonts w:ascii="Times New Roman" w:hAnsi="Times New Roman"/>
        </w:rPr>
        <w:t>适用的去标识化方法举例如下：</w:t>
      </w:r>
    </w:p>
    <w:p w14:paraId="7C9F6D6A" w14:textId="77777777" w:rsidR="00C75386" w:rsidRDefault="00000000">
      <w:pPr>
        <w:pStyle w:val="affffffffffff1"/>
        <w:numPr>
          <w:ilvl w:val="0"/>
          <w:numId w:val="33"/>
        </w:numPr>
        <w:spacing w:line="240" w:lineRule="auto"/>
        <w:ind w:left="900" w:firstLineChars="0" w:hanging="420"/>
        <w:rPr>
          <w:rFonts w:ascii="Times New Roman" w:hAnsi="Times New Roman"/>
        </w:rPr>
      </w:pPr>
      <w:r>
        <w:rPr>
          <w:rFonts w:ascii="Times New Roman" w:hAnsi="Times New Roman"/>
        </w:rPr>
        <w:t>泛化编码。使用概括、抽象的符号来表示，如使用</w:t>
      </w:r>
      <w:r>
        <w:rPr>
          <w:rFonts w:ascii="Times New Roman" w:hAnsi="Times New Roman"/>
        </w:rPr>
        <w:t>“</w:t>
      </w:r>
      <w:r>
        <w:rPr>
          <w:rFonts w:ascii="Times New Roman" w:hAnsi="Times New Roman"/>
        </w:rPr>
        <w:t>张先生</w:t>
      </w:r>
      <w:r>
        <w:rPr>
          <w:rFonts w:ascii="Times New Roman" w:hAnsi="Times New Roman"/>
        </w:rPr>
        <w:t>”</w:t>
      </w:r>
      <w:r>
        <w:rPr>
          <w:rFonts w:ascii="Times New Roman" w:hAnsi="Times New Roman"/>
        </w:rPr>
        <w:t>来代替</w:t>
      </w:r>
      <w:r>
        <w:rPr>
          <w:rFonts w:ascii="Times New Roman" w:hAnsi="Times New Roman"/>
        </w:rPr>
        <w:t>“</w:t>
      </w:r>
      <w:r>
        <w:rPr>
          <w:rFonts w:ascii="Times New Roman" w:hAnsi="Times New Roman"/>
        </w:rPr>
        <w:t>张三</w:t>
      </w:r>
      <w:r>
        <w:rPr>
          <w:rFonts w:ascii="Times New Roman" w:hAnsi="Times New Roman"/>
        </w:rPr>
        <w:t>”</w:t>
      </w:r>
      <w:r>
        <w:rPr>
          <w:rFonts w:ascii="Times New Roman" w:hAnsi="Times New Roman"/>
        </w:rPr>
        <w:t>，</w:t>
      </w:r>
    </w:p>
    <w:p w14:paraId="0B3579D7" w14:textId="77777777" w:rsidR="00C75386" w:rsidRDefault="00000000">
      <w:pPr>
        <w:pStyle w:val="affffffffffff1"/>
        <w:numPr>
          <w:ilvl w:val="0"/>
          <w:numId w:val="33"/>
        </w:numPr>
        <w:spacing w:line="240" w:lineRule="auto"/>
        <w:ind w:left="900" w:firstLineChars="0" w:hanging="420"/>
        <w:rPr>
          <w:rFonts w:ascii="Times New Roman" w:hAnsi="Times New Roman"/>
        </w:rPr>
      </w:pPr>
      <w:r>
        <w:rPr>
          <w:rFonts w:ascii="Times New Roman" w:hAnsi="Times New Roman"/>
        </w:rPr>
        <w:t>或使用</w:t>
      </w:r>
      <w:r>
        <w:rPr>
          <w:rFonts w:ascii="Times New Roman" w:hAnsi="Times New Roman"/>
        </w:rPr>
        <w:t>“</w:t>
      </w:r>
      <w:r>
        <w:rPr>
          <w:rFonts w:ascii="Times New Roman" w:hAnsi="Times New Roman"/>
        </w:rPr>
        <w:t>张某某</w:t>
      </w:r>
      <w:r>
        <w:rPr>
          <w:rFonts w:ascii="Times New Roman" w:hAnsi="Times New Roman"/>
        </w:rPr>
        <w:t>”</w:t>
      </w:r>
      <w:r>
        <w:rPr>
          <w:rFonts w:ascii="Times New Roman" w:hAnsi="Times New Roman"/>
        </w:rPr>
        <w:t>来代替</w:t>
      </w:r>
      <w:r>
        <w:rPr>
          <w:rFonts w:ascii="Times New Roman" w:hAnsi="Times New Roman"/>
        </w:rPr>
        <w:t>“</w:t>
      </w:r>
      <w:r>
        <w:rPr>
          <w:rFonts w:ascii="Times New Roman" w:hAnsi="Times New Roman"/>
        </w:rPr>
        <w:t>张三</w:t>
      </w:r>
      <w:r>
        <w:rPr>
          <w:rFonts w:ascii="Times New Roman" w:hAnsi="Times New Roman"/>
        </w:rPr>
        <w:t>”</w:t>
      </w:r>
      <w:r>
        <w:rPr>
          <w:rFonts w:ascii="Times New Roman" w:hAnsi="Times New Roman"/>
        </w:rPr>
        <w:t>。这种方法是用在需要保留</w:t>
      </w:r>
      <w:r>
        <w:rPr>
          <w:rFonts w:ascii="Times New Roman" w:hAnsi="Times New Roman"/>
        </w:rPr>
        <w:t>“</w:t>
      </w:r>
      <w:r>
        <w:rPr>
          <w:rFonts w:ascii="Times New Roman" w:hAnsi="Times New Roman"/>
        </w:rPr>
        <w:t>姓</w:t>
      </w:r>
      <w:r>
        <w:rPr>
          <w:rFonts w:ascii="Times New Roman" w:hAnsi="Times New Roman"/>
        </w:rPr>
        <w:t>”</w:t>
      </w:r>
      <w:r>
        <w:rPr>
          <w:rFonts w:ascii="Times New Roman" w:hAnsi="Times New Roman"/>
        </w:rPr>
        <w:t>这一基本特征的应用场景。</w:t>
      </w:r>
    </w:p>
    <w:p w14:paraId="1D8FEA2D" w14:textId="77777777" w:rsidR="00C75386" w:rsidRDefault="00000000">
      <w:pPr>
        <w:pStyle w:val="affffffffffff1"/>
        <w:numPr>
          <w:ilvl w:val="0"/>
          <w:numId w:val="33"/>
        </w:numPr>
        <w:spacing w:line="240" w:lineRule="auto"/>
        <w:ind w:left="900" w:firstLineChars="0" w:hanging="420"/>
        <w:rPr>
          <w:rFonts w:ascii="Times New Roman" w:hAnsi="Times New Roman"/>
        </w:rPr>
      </w:pPr>
      <w:r>
        <w:rPr>
          <w:rFonts w:ascii="Times New Roman" w:hAnsi="Times New Roman"/>
        </w:rPr>
        <w:t>抑制屏蔽。直接删除姓名或使用统一的</w:t>
      </w:r>
      <w:r>
        <w:rPr>
          <w:rFonts w:ascii="Times New Roman" w:hAnsi="Times New Roman"/>
        </w:rPr>
        <w:t>“*”</w:t>
      </w:r>
      <w:r>
        <w:rPr>
          <w:rFonts w:ascii="Times New Roman" w:hAnsi="Times New Roman"/>
        </w:rPr>
        <w:t>来表示。如所有的姓名都使</w:t>
      </w:r>
    </w:p>
    <w:p w14:paraId="3517753F" w14:textId="77777777" w:rsidR="00C75386" w:rsidRDefault="00000000">
      <w:pPr>
        <w:pStyle w:val="affffffffffff1"/>
        <w:numPr>
          <w:ilvl w:val="0"/>
          <w:numId w:val="33"/>
        </w:numPr>
        <w:spacing w:line="240" w:lineRule="auto"/>
        <w:ind w:left="900" w:firstLineChars="0" w:hanging="420"/>
        <w:rPr>
          <w:rFonts w:ascii="Times New Roman" w:hAnsi="Times New Roman"/>
        </w:rPr>
      </w:pPr>
      <w:r>
        <w:rPr>
          <w:rFonts w:ascii="Times New Roman" w:hAnsi="Times New Roman"/>
        </w:rPr>
        <w:t>用</w:t>
      </w:r>
      <w:r>
        <w:rPr>
          <w:rFonts w:ascii="Times New Roman" w:hAnsi="Times New Roman"/>
        </w:rPr>
        <w:t>“***”</w:t>
      </w:r>
      <w:r>
        <w:rPr>
          <w:rFonts w:ascii="Times New Roman" w:hAnsi="Times New Roman"/>
        </w:rPr>
        <w:t>代替。</w:t>
      </w:r>
    </w:p>
    <w:p w14:paraId="5FF9D4DE" w14:textId="77777777" w:rsidR="00C75386" w:rsidRDefault="00000000">
      <w:pPr>
        <w:pStyle w:val="affffffffffff1"/>
        <w:numPr>
          <w:ilvl w:val="0"/>
          <w:numId w:val="33"/>
        </w:numPr>
        <w:spacing w:line="240" w:lineRule="auto"/>
        <w:ind w:left="900" w:firstLineChars="0" w:hanging="420"/>
        <w:rPr>
          <w:rFonts w:ascii="Times New Roman" w:hAnsi="Times New Roman"/>
        </w:rPr>
      </w:pPr>
      <w:r>
        <w:rPr>
          <w:rFonts w:ascii="Times New Roman" w:hAnsi="Times New Roman"/>
        </w:rPr>
        <w:t>随机替代。使用随机生成的汉字来表示，如使用随机生成的</w:t>
      </w:r>
      <w:r>
        <w:rPr>
          <w:rFonts w:ascii="Times New Roman" w:hAnsi="Times New Roman"/>
        </w:rPr>
        <w:t>“</w:t>
      </w:r>
      <w:r>
        <w:rPr>
          <w:rFonts w:ascii="Times New Roman" w:hAnsi="Times New Roman"/>
        </w:rPr>
        <w:t>辰筹猎</w:t>
      </w:r>
      <w:r>
        <w:rPr>
          <w:rFonts w:ascii="Times New Roman" w:hAnsi="Times New Roman"/>
        </w:rPr>
        <w:t>”</w:t>
      </w:r>
      <w:r>
        <w:rPr>
          <w:rFonts w:ascii="Times New Roman" w:hAnsi="Times New Roman"/>
        </w:rPr>
        <w:t>、来取代</w:t>
      </w:r>
      <w:r>
        <w:rPr>
          <w:rFonts w:ascii="Times New Roman" w:hAnsi="Times New Roman"/>
        </w:rPr>
        <w:t>“</w:t>
      </w:r>
      <w:r>
        <w:rPr>
          <w:rFonts w:ascii="Times New Roman" w:hAnsi="Times New Roman"/>
        </w:rPr>
        <w:t>张三丰</w:t>
      </w:r>
      <w:r>
        <w:rPr>
          <w:rFonts w:ascii="Times New Roman" w:hAnsi="Times New Roman"/>
        </w:rPr>
        <w:t>”</w:t>
      </w:r>
      <w:r>
        <w:rPr>
          <w:rFonts w:ascii="Times New Roman" w:hAnsi="Times New Roman"/>
        </w:rPr>
        <w:t>。</w:t>
      </w:r>
    </w:p>
    <w:p w14:paraId="0E682078" w14:textId="77777777" w:rsidR="00C75386" w:rsidRDefault="00000000">
      <w:pPr>
        <w:pStyle w:val="affffffffffff1"/>
        <w:numPr>
          <w:ilvl w:val="0"/>
          <w:numId w:val="33"/>
        </w:numPr>
        <w:spacing w:line="240" w:lineRule="auto"/>
        <w:ind w:left="900" w:firstLineChars="0" w:hanging="420"/>
        <w:rPr>
          <w:rFonts w:ascii="Times New Roman" w:hAnsi="Times New Roman"/>
        </w:rPr>
      </w:pPr>
      <w:r>
        <w:rPr>
          <w:rFonts w:ascii="Times New Roman" w:hAnsi="Times New Roman"/>
        </w:rPr>
        <w:t>假名化。构建常用人名字典表，并从中选择一个来表示，如先构建常用的人名字典表，包括龚小虹、黄益洪、龙家锐、</w:t>
      </w:r>
      <w:r>
        <w:rPr>
          <w:rFonts w:ascii="Times New Roman" w:hAnsi="Times New Roman"/>
        </w:rPr>
        <w:t>······</w:t>
      </w:r>
      <w:r>
        <w:rPr>
          <w:rFonts w:ascii="Times New Roman" w:hAnsi="Times New Roman"/>
        </w:rPr>
        <w:t>等，假名化时根据按照顺序或随机选择一个人名代替原名。如使用</w:t>
      </w:r>
      <w:r>
        <w:rPr>
          <w:rFonts w:ascii="Times New Roman" w:hAnsi="Times New Roman"/>
        </w:rPr>
        <w:t>“</w:t>
      </w:r>
      <w:r>
        <w:rPr>
          <w:rFonts w:ascii="Times New Roman" w:hAnsi="Times New Roman"/>
        </w:rPr>
        <w:t>龚小虹</w:t>
      </w:r>
      <w:r>
        <w:rPr>
          <w:rFonts w:ascii="Times New Roman" w:hAnsi="Times New Roman"/>
        </w:rPr>
        <w:t>”</w:t>
      </w:r>
      <w:r>
        <w:rPr>
          <w:rFonts w:ascii="Times New Roman" w:hAnsi="Times New Roman"/>
        </w:rPr>
        <w:t>取代</w:t>
      </w:r>
      <w:r>
        <w:rPr>
          <w:rFonts w:ascii="Times New Roman" w:hAnsi="Times New Roman"/>
        </w:rPr>
        <w:t>“</w:t>
      </w:r>
      <w:r>
        <w:rPr>
          <w:rFonts w:ascii="Times New Roman" w:hAnsi="Times New Roman"/>
        </w:rPr>
        <w:t>张三丰</w:t>
      </w:r>
      <w:r>
        <w:rPr>
          <w:rFonts w:ascii="Times New Roman" w:hAnsi="Times New Roman"/>
        </w:rPr>
        <w:t>”</w:t>
      </w:r>
      <w:r>
        <w:rPr>
          <w:rFonts w:ascii="Times New Roman" w:hAnsi="Times New Roman"/>
        </w:rPr>
        <w:t>。这种方法有可能用在需要保持姓名数据可逆变换的场景。</w:t>
      </w:r>
    </w:p>
    <w:p w14:paraId="4BB24A93" w14:textId="77777777" w:rsidR="00C75386" w:rsidRDefault="00000000">
      <w:pPr>
        <w:pStyle w:val="affffffffffff1"/>
        <w:numPr>
          <w:ilvl w:val="0"/>
          <w:numId w:val="33"/>
        </w:numPr>
        <w:spacing w:line="240" w:lineRule="auto"/>
        <w:ind w:left="900" w:firstLineChars="0" w:hanging="420"/>
        <w:rPr>
          <w:rFonts w:ascii="Times New Roman" w:hAnsi="Times New Roman"/>
        </w:rPr>
      </w:pPr>
      <w:r>
        <w:rPr>
          <w:rFonts w:ascii="Times New Roman" w:hAnsi="Times New Roman"/>
        </w:rPr>
        <w:t>可逆编码。采用密码或其他变换技术，将姓名转变成另外的字符，并保持可逆特性。如使用密码和字符编码技术，使用</w:t>
      </w:r>
      <w:r>
        <w:rPr>
          <w:rFonts w:ascii="Times New Roman" w:hAnsi="Times New Roman" w:hint="eastAsia"/>
        </w:rPr>
        <w:t>“</w:t>
      </w:r>
      <w:r>
        <w:rPr>
          <w:rFonts w:ascii="Times New Roman" w:hAnsi="Times New Roman"/>
        </w:rPr>
        <w:t>SGIHLIKHJ</w:t>
      </w:r>
      <w:r>
        <w:rPr>
          <w:rFonts w:ascii="Times New Roman" w:hAnsi="Times New Roman" w:hint="eastAsia"/>
        </w:rPr>
        <w:t>”</w:t>
      </w:r>
      <w:r>
        <w:rPr>
          <w:rFonts w:ascii="Times New Roman" w:hAnsi="Times New Roman"/>
        </w:rPr>
        <w:t>代替</w:t>
      </w:r>
      <w:r>
        <w:rPr>
          <w:rFonts w:ascii="Times New Roman" w:hAnsi="Times New Roman" w:hint="eastAsia"/>
        </w:rPr>
        <w:t>“</w:t>
      </w:r>
      <w:r>
        <w:rPr>
          <w:rFonts w:ascii="Times New Roman" w:hAnsi="Times New Roman"/>
        </w:rPr>
        <w:t>张三丰</w:t>
      </w:r>
      <w:r>
        <w:rPr>
          <w:rFonts w:ascii="Times New Roman" w:hAnsi="Times New Roman" w:hint="eastAsia"/>
        </w:rPr>
        <w:t>”</w:t>
      </w:r>
      <w:r>
        <w:rPr>
          <w:rFonts w:ascii="Times New Roman" w:hAnsi="Times New Roman"/>
        </w:rPr>
        <w:t>，或使用</w:t>
      </w:r>
      <w:proofErr w:type="gramStart"/>
      <w:r>
        <w:rPr>
          <w:rFonts w:ascii="Times New Roman" w:hAnsi="Times New Roman" w:hint="eastAsia"/>
        </w:rPr>
        <w:t>”</w:t>
      </w:r>
      <w:proofErr w:type="spellStart"/>
      <w:proofErr w:type="gramEnd"/>
      <w:r>
        <w:rPr>
          <w:rFonts w:ascii="Times New Roman" w:hAnsi="Times New Roman"/>
        </w:rPr>
        <w:t>Fzf</w:t>
      </w:r>
      <w:proofErr w:type="spellEnd"/>
      <w:proofErr w:type="gramStart"/>
      <w:r>
        <w:rPr>
          <w:rFonts w:ascii="Times New Roman" w:hAnsi="Times New Roman" w:hint="eastAsia"/>
        </w:rPr>
        <w:t>”</w:t>
      </w:r>
      <w:proofErr w:type="gramEnd"/>
      <w:r>
        <w:rPr>
          <w:rFonts w:ascii="Times New Roman" w:hAnsi="Times New Roman"/>
        </w:rPr>
        <w:t>代替</w:t>
      </w:r>
      <w:proofErr w:type="gramStart"/>
      <w:r>
        <w:rPr>
          <w:rFonts w:ascii="Times New Roman" w:hAnsi="Times New Roman" w:hint="eastAsia"/>
        </w:rPr>
        <w:t>”</w:t>
      </w:r>
      <w:proofErr w:type="gramEnd"/>
      <w:r>
        <w:rPr>
          <w:rFonts w:ascii="Times New Roman" w:hAnsi="Times New Roman"/>
        </w:rPr>
        <w:t>Bob</w:t>
      </w:r>
      <w:proofErr w:type="gramStart"/>
      <w:r>
        <w:rPr>
          <w:rFonts w:ascii="Times New Roman" w:hAnsi="Times New Roman" w:hint="eastAsia"/>
        </w:rPr>
        <w:t>”</w:t>
      </w:r>
      <w:proofErr w:type="gramEnd"/>
      <w:r>
        <w:rPr>
          <w:rFonts w:ascii="Times New Roman" w:hAnsi="Times New Roman"/>
        </w:rPr>
        <w:t>。</w:t>
      </w:r>
    </w:p>
    <w:p w14:paraId="11E3BEF9" w14:textId="77777777" w:rsidR="00C75386" w:rsidRDefault="00000000">
      <w:pPr>
        <w:pStyle w:val="afff"/>
        <w:spacing w:before="120" w:after="120"/>
      </w:pPr>
      <w:r>
        <w:rPr>
          <w:rFonts w:hint="eastAsia"/>
        </w:rPr>
        <w:t>地址去标识</w:t>
      </w:r>
    </w:p>
    <w:p w14:paraId="69221A91" w14:textId="77777777" w:rsidR="00C75386" w:rsidRDefault="00000000">
      <w:pPr>
        <w:pStyle w:val="affffffffffff1"/>
        <w:spacing w:line="240" w:lineRule="auto"/>
        <w:rPr>
          <w:rFonts w:ascii="Times New Roman" w:hAnsi="Times New Roman"/>
        </w:rPr>
      </w:pPr>
      <w:r>
        <w:rPr>
          <w:rFonts w:ascii="Times New Roman" w:hAnsi="Times New Roman"/>
        </w:rPr>
        <w:t>对于地址，常用的去</w:t>
      </w:r>
      <w:proofErr w:type="gramStart"/>
      <w:r>
        <w:rPr>
          <w:rFonts w:ascii="Times New Roman" w:hAnsi="Times New Roman"/>
        </w:rPr>
        <w:t>标识话方法</w:t>
      </w:r>
      <w:proofErr w:type="gramEnd"/>
      <w:r>
        <w:rPr>
          <w:rFonts w:ascii="Times New Roman" w:hAnsi="Times New Roman"/>
        </w:rPr>
        <w:t>举例如下：</w:t>
      </w:r>
    </w:p>
    <w:p w14:paraId="5C620AC9" w14:textId="77777777" w:rsidR="00C75386" w:rsidRDefault="00000000">
      <w:pPr>
        <w:pStyle w:val="affffffffffff1"/>
        <w:numPr>
          <w:ilvl w:val="0"/>
          <w:numId w:val="34"/>
        </w:numPr>
        <w:spacing w:line="240" w:lineRule="auto"/>
        <w:ind w:left="840" w:firstLineChars="0" w:hanging="420"/>
        <w:rPr>
          <w:rFonts w:ascii="Times New Roman" w:hAnsi="Times New Roman"/>
        </w:rPr>
      </w:pPr>
      <w:r>
        <w:rPr>
          <w:rFonts w:ascii="Times New Roman" w:hAnsi="Times New Roman"/>
        </w:rPr>
        <w:t>泛化编码。使用概括、抽象的符号来表示，如</w:t>
      </w:r>
      <w:proofErr w:type="gramStart"/>
      <w:r>
        <w:rPr>
          <w:rFonts w:ascii="Times New Roman" w:hAnsi="Times New Roman"/>
        </w:rPr>
        <w:t>”</w:t>
      </w:r>
      <w:proofErr w:type="gramEnd"/>
      <w:r>
        <w:rPr>
          <w:rFonts w:ascii="Times New Roman" w:hAnsi="Times New Roman"/>
        </w:rPr>
        <w:t>江西省吉安市安福县</w:t>
      </w:r>
      <w:proofErr w:type="gramStart"/>
      <w:r>
        <w:rPr>
          <w:rFonts w:ascii="Times New Roman" w:hAnsi="Times New Roman" w:hint="eastAsia"/>
        </w:rPr>
        <w:t>”</w:t>
      </w:r>
      <w:proofErr w:type="gramEnd"/>
      <w:r>
        <w:rPr>
          <w:rFonts w:ascii="Times New Roman" w:hAnsi="Times New Roman"/>
        </w:rPr>
        <w:t>使用</w:t>
      </w:r>
      <w:r>
        <w:rPr>
          <w:rFonts w:ascii="Times New Roman" w:hAnsi="Times New Roman" w:hint="eastAsia"/>
        </w:rPr>
        <w:t>“</w:t>
      </w:r>
      <w:r>
        <w:rPr>
          <w:rFonts w:ascii="Times New Roman" w:hAnsi="Times New Roman"/>
        </w:rPr>
        <w:t>南方某地</w:t>
      </w:r>
      <w:r>
        <w:rPr>
          <w:rFonts w:ascii="Times New Roman" w:hAnsi="Times New Roman" w:hint="eastAsia"/>
        </w:rPr>
        <w:t>”</w:t>
      </w:r>
      <w:r>
        <w:rPr>
          <w:rFonts w:ascii="Times New Roman" w:hAnsi="Times New Roman"/>
        </w:rPr>
        <w:t>或</w:t>
      </w:r>
      <w:r>
        <w:rPr>
          <w:rFonts w:ascii="Times New Roman" w:hAnsi="Times New Roman" w:hint="eastAsia"/>
        </w:rPr>
        <w:t>“</w:t>
      </w:r>
      <w:r>
        <w:rPr>
          <w:rFonts w:ascii="Times New Roman" w:hAnsi="Times New Roman"/>
        </w:rPr>
        <w:t>J</w:t>
      </w:r>
      <w:r>
        <w:rPr>
          <w:rFonts w:ascii="Times New Roman" w:hAnsi="Times New Roman"/>
        </w:rPr>
        <w:t>省</w:t>
      </w:r>
      <w:r>
        <w:rPr>
          <w:rFonts w:ascii="Times New Roman" w:hAnsi="Times New Roman" w:hint="eastAsia"/>
        </w:rPr>
        <w:t>”</w:t>
      </w:r>
      <w:r>
        <w:rPr>
          <w:rFonts w:ascii="Times New Roman" w:hAnsi="Times New Roman"/>
        </w:rPr>
        <w:t>来代替。</w:t>
      </w:r>
    </w:p>
    <w:p w14:paraId="3844A041" w14:textId="77777777" w:rsidR="00C75386" w:rsidRDefault="00000000">
      <w:pPr>
        <w:pStyle w:val="affffffffffff1"/>
        <w:numPr>
          <w:ilvl w:val="0"/>
          <w:numId w:val="34"/>
        </w:numPr>
        <w:spacing w:line="240" w:lineRule="auto"/>
        <w:ind w:left="840" w:firstLineChars="0" w:hanging="420"/>
        <w:rPr>
          <w:rFonts w:ascii="Times New Roman" w:hAnsi="Times New Roman"/>
        </w:rPr>
      </w:pPr>
      <w:r>
        <w:rPr>
          <w:rFonts w:ascii="Times New Roman" w:hAnsi="Times New Roman"/>
        </w:rPr>
        <w:t>抑制屏蔽。直接删除地址或使用统一的</w:t>
      </w:r>
      <w:r>
        <w:rPr>
          <w:rFonts w:ascii="Times New Roman" w:hAnsi="Times New Roman" w:hint="eastAsia"/>
        </w:rPr>
        <w:t>“</w:t>
      </w:r>
      <w:r>
        <w:rPr>
          <w:rFonts w:ascii="Times New Roman" w:hAnsi="Times New Roman"/>
        </w:rPr>
        <w:t>*</w:t>
      </w:r>
      <w:r>
        <w:rPr>
          <w:rFonts w:ascii="Times New Roman" w:hAnsi="Times New Roman" w:hint="eastAsia"/>
        </w:rPr>
        <w:t>”</w:t>
      </w:r>
      <w:r>
        <w:rPr>
          <w:rFonts w:ascii="Times New Roman" w:hAnsi="Times New Roman"/>
        </w:rPr>
        <w:t>来表示。如所有的地址都使用</w:t>
      </w:r>
      <w:r>
        <w:rPr>
          <w:rFonts w:ascii="Times New Roman" w:hAnsi="Times New Roman"/>
        </w:rPr>
        <w:t>“******”</w:t>
      </w:r>
      <w:r>
        <w:rPr>
          <w:rFonts w:ascii="Times New Roman" w:hAnsi="Times New Roman"/>
        </w:rPr>
        <w:t>代替。</w:t>
      </w:r>
    </w:p>
    <w:p w14:paraId="3BC4B248" w14:textId="77777777" w:rsidR="00C75386" w:rsidRDefault="00000000">
      <w:pPr>
        <w:pStyle w:val="affffffffffff1"/>
        <w:numPr>
          <w:ilvl w:val="0"/>
          <w:numId w:val="34"/>
        </w:numPr>
        <w:spacing w:line="240" w:lineRule="auto"/>
        <w:ind w:left="840" w:firstLineChars="0" w:hanging="420"/>
        <w:rPr>
          <w:rFonts w:ascii="Times New Roman" w:hAnsi="Times New Roman"/>
        </w:rPr>
      </w:pPr>
      <w:r>
        <w:rPr>
          <w:rFonts w:ascii="Times New Roman" w:hAnsi="Times New Roman"/>
        </w:rPr>
        <w:t>部分屏蔽。屏蔽地址中的一部分，以保护地址信息。如使用</w:t>
      </w:r>
      <w:r>
        <w:rPr>
          <w:rFonts w:ascii="Times New Roman" w:hAnsi="Times New Roman" w:hint="eastAsia"/>
        </w:rPr>
        <w:t>“</w:t>
      </w:r>
      <w:r>
        <w:rPr>
          <w:rFonts w:ascii="Times New Roman" w:hAnsi="Times New Roman"/>
        </w:rPr>
        <w:t>江西省</w:t>
      </w:r>
      <w:r>
        <w:rPr>
          <w:rFonts w:ascii="Times New Roman" w:hAnsi="Times New Roman"/>
        </w:rPr>
        <w:t>xx</w:t>
      </w:r>
      <w:r>
        <w:rPr>
          <w:rFonts w:ascii="Times New Roman" w:hAnsi="Times New Roman"/>
        </w:rPr>
        <w:t>市</w:t>
      </w:r>
      <w:r>
        <w:rPr>
          <w:rFonts w:ascii="Times New Roman" w:hAnsi="Times New Roman"/>
        </w:rPr>
        <w:t xml:space="preserve">xx </w:t>
      </w:r>
      <w:r>
        <w:rPr>
          <w:rFonts w:ascii="Times New Roman" w:hAnsi="Times New Roman"/>
        </w:rPr>
        <w:t>县</w:t>
      </w:r>
      <w:r>
        <w:rPr>
          <w:rFonts w:ascii="Times New Roman" w:hAnsi="Times New Roman" w:hint="eastAsia"/>
        </w:rPr>
        <w:t>”</w:t>
      </w:r>
      <w:r>
        <w:rPr>
          <w:rFonts w:ascii="Times New Roman" w:hAnsi="Times New Roman"/>
        </w:rPr>
        <w:t>来代替</w:t>
      </w:r>
      <w:r>
        <w:rPr>
          <w:rFonts w:ascii="Times New Roman" w:hAnsi="Times New Roman" w:hint="eastAsia"/>
        </w:rPr>
        <w:t>“</w:t>
      </w:r>
      <w:r>
        <w:rPr>
          <w:rFonts w:ascii="Times New Roman" w:hAnsi="Times New Roman"/>
        </w:rPr>
        <w:t>江西省吉安市安福县</w:t>
      </w:r>
      <w:r>
        <w:rPr>
          <w:rFonts w:ascii="Times New Roman" w:hAnsi="Times New Roman"/>
        </w:rPr>
        <w:t>”</w:t>
      </w:r>
      <w:r>
        <w:rPr>
          <w:rFonts w:ascii="Times New Roman" w:hAnsi="Times New Roman"/>
        </w:rPr>
        <w:t>。</w:t>
      </w:r>
    </w:p>
    <w:p w14:paraId="03F857BD" w14:textId="77777777" w:rsidR="00C75386" w:rsidRDefault="00000000">
      <w:pPr>
        <w:pStyle w:val="affffffffffff1"/>
        <w:numPr>
          <w:ilvl w:val="0"/>
          <w:numId w:val="34"/>
        </w:numPr>
        <w:spacing w:line="240" w:lineRule="auto"/>
        <w:ind w:left="840" w:firstLineChars="0" w:hanging="420"/>
        <w:rPr>
          <w:rFonts w:ascii="Times New Roman" w:hAnsi="Times New Roman"/>
        </w:rPr>
      </w:pPr>
      <w:r>
        <w:rPr>
          <w:rFonts w:ascii="Times New Roman" w:hAnsi="Times New Roman"/>
        </w:rPr>
        <w:t>数据合成。采用重新产生的数据替代原地址数据，数据产生方法可以采用确定性方法或随机性方法。如使用</w:t>
      </w:r>
      <w:r>
        <w:rPr>
          <w:rFonts w:ascii="Times New Roman" w:hAnsi="Times New Roman" w:hint="eastAsia"/>
        </w:rPr>
        <w:t>“</w:t>
      </w:r>
      <w:r>
        <w:rPr>
          <w:rFonts w:ascii="Times New Roman" w:hAnsi="Times New Roman"/>
        </w:rPr>
        <w:t>黑龙江省鸡西市</w:t>
      </w:r>
      <w:proofErr w:type="gramStart"/>
      <w:r>
        <w:rPr>
          <w:rFonts w:ascii="Times New Roman" w:hAnsi="Times New Roman"/>
        </w:rPr>
        <w:t>特铁县</w:t>
      </w:r>
      <w:proofErr w:type="gramEnd"/>
      <w:r>
        <w:rPr>
          <w:rFonts w:ascii="Times New Roman" w:hAnsi="Times New Roman"/>
        </w:rPr>
        <w:t>北京路</w:t>
      </w:r>
      <w:r>
        <w:rPr>
          <w:rFonts w:ascii="Times New Roman" w:hAnsi="Times New Roman"/>
        </w:rPr>
        <w:t>23</w:t>
      </w:r>
      <w:r>
        <w:rPr>
          <w:rFonts w:ascii="Times New Roman" w:hAnsi="Times New Roman"/>
        </w:rPr>
        <w:t>号</w:t>
      </w:r>
      <w:r>
        <w:rPr>
          <w:rFonts w:ascii="Times New Roman" w:hAnsi="Times New Roman" w:hint="eastAsia"/>
        </w:rPr>
        <w:t>”</w:t>
      </w:r>
      <w:r>
        <w:rPr>
          <w:rFonts w:ascii="Times New Roman" w:hAnsi="Times New Roman"/>
        </w:rPr>
        <w:t>代替</w:t>
      </w:r>
      <w:r>
        <w:rPr>
          <w:rFonts w:ascii="Times New Roman" w:hAnsi="Times New Roman" w:hint="eastAsia"/>
        </w:rPr>
        <w:t xml:space="preserve"> </w:t>
      </w:r>
      <w:r>
        <w:rPr>
          <w:rFonts w:ascii="Times New Roman" w:hAnsi="Times New Roman" w:hint="eastAsia"/>
        </w:rPr>
        <w:t>“</w:t>
      </w:r>
      <w:r>
        <w:rPr>
          <w:rFonts w:ascii="Times New Roman" w:hAnsi="Times New Roman"/>
        </w:rPr>
        <w:t>江西省吉安市安福县安平路</w:t>
      </w:r>
      <w:r>
        <w:rPr>
          <w:rFonts w:ascii="Times New Roman" w:hAnsi="Times New Roman"/>
        </w:rPr>
        <w:t>1</w:t>
      </w:r>
      <w:r>
        <w:rPr>
          <w:rFonts w:ascii="Times New Roman" w:hAnsi="Times New Roman"/>
        </w:rPr>
        <w:t>号</w:t>
      </w:r>
      <w:r>
        <w:rPr>
          <w:rFonts w:ascii="Times New Roman" w:hAnsi="Times New Roman" w:hint="eastAsia"/>
        </w:rPr>
        <w:t>”</w:t>
      </w:r>
      <w:r>
        <w:rPr>
          <w:rFonts w:ascii="Times New Roman" w:hAnsi="Times New Roman"/>
        </w:rPr>
        <w:t>。</w:t>
      </w:r>
    </w:p>
    <w:p w14:paraId="694AB07E" w14:textId="77777777" w:rsidR="00C75386" w:rsidRDefault="00000000">
      <w:pPr>
        <w:pStyle w:val="afff"/>
        <w:spacing w:before="120" w:after="120"/>
      </w:pPr>
      <w:r>
        <w:rPr>
          <w:rFonts w:hint="eastAsia"/>
        </w:rPr>
        <w:t>数值型标识符去标识</w:t>
      </w:r>
    </w:p>
    <w:p w14:paraId="7161D2DF" w14:textId="77777777" w:rsidR="00C75386" w:rsidRDefault="00000000">
      <w:pPr>
        <w:pStyle w:val="affffffffffff1"/>
        <w:spacing w:line="240" w:lineRule="auto"/>
        <w:rPr>
          <w:rFonts w:ascii="Times New Roman" w:hAnsi="Times New Roman"/>
        </w:rPr>
      </w:pPr>
      <w:r>
        <w:rPr>
          <w:rFonts w:ascii="Times New Roman" w:hAnsi="Times New Roman"/>
        </w:rPr>
        <w:t>常用的数值型标识符的去标识化包括：</w:t>
      </w:r>
    </w:p>
    <w:p w14:paraId="50E3B3F1" w14:textId="77777777" w:rsidR="00C75386" w:rsidRDefault="00000000">
      <w:pPr>
        <w:pStyle w:val="affffffffffff1"/>
        <w:numPr>
          <w:ilvl w:val="0"/>
          <w:numId w:val="35"/>
        </w:numPr>
        <w:spacing w:line="240" w:lineRule="auto"/>
        <w:ind w:left="840" w:firstLineChars="0" w:hanging="420"/>
        <w:rPr>
          <w:rFonts w:ascii="Times New Roman" w:hAnsi="Times New Roman"/>
        </w:rPr>
      </w:pPr>
      <w:r>
        <w:rPr>
          <w:rFonts w:ascii="Times New Roman" w:hAnsi="Times New Roman"/>
        </w:rPr>
        <w:t>泛化编码。使用概括、抽象的符号来表示，如</w:t>
      </w:r>
      <w:r>
        <w:rPr>
          <w:rFonts w:ascii="Times New Roman" w:hAnsi="Times New Roman" w:hint="eastAsia"/>
        </w:rPr>
        <w:t>“</w:t>
      </w:r>
      <w:r>
        <w:rPr>
          <w:rFonts w:ascii="Times New Roman" w:hAnsi="Times New Roman"/>
        </w:rPr>
        <w:t>有四个人，他们分别是蓝色、绿色和浅褐色的眼睛</w:t>
      </w:r>
      <w:r>
        <w:rPr>
          <w:rFonts w:ascii="Times New Roman" w:hAnsi="Times New Roman"/>
        </w:rPr>
        <w:t>”</w:t>
      </w:r>
      <w:r>
        <w:rPr>
          <w:rFonts w:ascii="Times New Roman" w:hAnsi="Times New Roman"/>
        </w:rPr>
        <w:t>来代替</w:t>
      </w:r>
      <w:r>
        <w:rPr>
          <w:rFonts w:ascii="Times New Roman" w:hAnsi="Times New Roman"/>
        </w:rPr>
        <w:t>“</w:t>
      </w:r>
      <w:r>
        <w:rPr>
          <w:rFonts w:ascii="Times New Roman" w:hAnsi="Times New Roman"/>
        </w:rPr>
        <w:t>有</w:t>
      </w:r>
      <w:r>
        <w:rPr>
          <w:rFonts w:ascii="Times New Roman" w:hAnsi="Times New Roman"/>
        </w:rPr>
        <w:t>1</w:t>
      </w:r>
      <w:r>
        <w:rPr>
          <w:rFonts w:ascii="Times New Roman" w:hAnsi="Times New Roman"/>
        </w:rPr>
        <w:t>个人是蓝色眼睛，</w:t>
      </w:r>
      <w:r>
        <w:rPr>
          <w:rFonts w:ascii="Times New Roman" w:hAnsi="Times New Roman"/>
        </w:rPr>
        <w:t>2</w:t>
      </w:r>
      <w:r>
        <w:rPr>
          <w:rFonts w:ascii="Times New Roman" w:hAnsi="Times New Roman"/>
        </w:rPr>
        <w:t>个人是绿色的眼睛，</w:t>
      </w:r>
      <w:r>
        <w:rPr>
          <w:rFonts w:ascii="Times New Roman" w:hAnsi="Times New Roman"/>
        </w:rPr>
        <w:t>1</w:t>
      </w:r>
      <w:r>
        <w:rPr>
          <w:rFonts w:ascii="Times New Roman" w:hAnsi="Times New Roman"/>
        </w:rPr>
        <w:t>个人是浅褐色的眼睛</w:t>
      </w:r>
      <w:r>
        <w:rPr>
          <w:rFonts w:ascii="Times New Roman" w:hAnsi="Times New Roman" w:hint="eastAsia"/>
        </w:rPr>
        <w:t>”</w:t>
      </w:r>
      <w:r>
        <w:rPr>
          <w:rFonts w:ascii="Times New Roman" w:hAnsi="Times New Roman"/>
        </w:rPr>
        <w:t>。</w:t>
      </w:r>
    </w:p>
    <w:p w14:paraId="4A7AF300" w14:textId="77777777" w:rsidR="00C75386" w:rsidRDefault="00000000">
      <w:pPr>
        <w:pStyle w:val="affffffffffff1"/>
        <w:numPr>
          <w:ilvl w:val="0"/>
          <w:numId w:val="35"/>
        </w:numPr>
        <w:spacing w:line="240" w:lineRule="auto"/>
        <w:ind w:left="840" w:firstLineChars="0" w:hanging="420"/>
        <w:rPr>
          <w:rFonts w:ascii="Times New Roman" w:hAnsi="Times New Roman"/>
        </w:rPr>
      </w:pPr>
      <w:r>
        <w:rPr>
          <w:rFonts w:ascii="Times New Roman" w:hAnsi="Times New Roman"/>
        </w:rPr>
        <w:t>抑制屏蔽。直接删除数值或使用统一的</w:t>
      </w:r>
      <w:r>
        <w:rPr>
          <w:rFonts w:ascii="Times New Roman" w:hAnsi="Times New Roman" w:hint="eastAsia"/>
        </w:rPr>
        <w:t>“</w:t>
      </w:r>
      <w:r>
        <w:rPr>
          <w:rFonts w:ascii="Times New Roman" w:hAnsi="Times New Roman"/>
        </w:rPr>
        <w:t>*</w:t>
      </w:r>
      <w:r>
        <w:rPr>
          <w:rFonts w:ascii="Times New Roman" w:hAnsi="Times New Roman"/>
        </w:rPr>
        <w:t>来表示</w:t>
      </w:r>
      <w:r>
        <w:rPr>
          <w:rFonts w:ascii="Times New Roman" w:hAnsi="Times New Roman" w:hint="eastAsia"/>
        </w:rPr>
        <w:t>”</w:t>
      </w:r>
      <w:r>
        <w:rPr>
          <w:rFonts w:ascii="Times New Roman" w:hAnsi="Times New Roman"/>
        </w:rPr>
        <w:t>。如所有的数值都使用</w:t>
      </w:r>
      <w:r>
        <w:rPr>
          <w:rFonts w:ascii="Times New Roman" w:hAnsi="Times New Roman"/>
        </w:rPr>
        <w:t>“******”</w:t>
      </w:r>
      <w:r>
        <w:rPr>
          <w:rFonts w:ascii="Times New Roman" w:hAnsi="Times New Roman"/>
        </w:rPr>
        <w:t>代替。</w:t>
      </w:r>
    </w:p>
    <w:p w14:paraId="69C927A8" w14:textId="77777777" w:rsidR="00C75386" w:rsidRDefault="00000000">
      <w:pPr>
        <w:pStyle w:val="affffffffffff1"/>
        <w:numPr>
          <w:ilvl w:val="0"/>
          <w:numId w:val="35"/>
        </w:numPr>
        <w:spacing w:line="240" w:lineRule="auto"/>
        <w:ind w:left="840" w:firstLineChars="0" w:hanging="420"/>
        <w:rPr>
          <w:rFonts w:ascii="Times New Roman" w:hAnsi="Times New Roman"/>
        </w:rPr>
      </w:pPr>
      <w:r>
        <w:rPr>
          <w:rFonts w:ascii="Times New Roman" w:hAnsi="Times New Roman"/>
        </w:rPr>
        <w:t>顶层和底层编码。大于或小于一个特定值的处理成某个固定值。例如，年龄超过</w:t>
      </w:r>
      <w:r>
        <w:rPr>
          <w:rFonts w:ascii="Times New Roman" w:hAnsi="Times New Roman"/>
        </w:rPr>
        <w:t>70</w:t>
      </w:r>
      <w:r>
        <w:rPr>
          <w:rFonts w:ascii="Times New Roman" w:hAnsi="Times New Roman"/>
        </w:rPr>
        <w:t>岁的一律用</w:t>
      </w:r>
      <w:r>
        <w:rPr>
          <w:rFonts w:ascii="Times New Roman" w:hAnsi="Times New Roman" w:hint="eastAsia"/>
        </w:rPr>
        <w:t>“</w:t>
      </w:r>
      <w:r>
        <w:rPr>
          <w:rFonts w:ascii="Times New Roman" w:hAnsi="Times New Roman"/>
        </w:rPr>
        <w:t>大于</w:t>
      </w:r>
      <w:r>
        <w:rPr>
          <w:rFonts w:ascii="Times New Roman" w:hAnsi="Times New Roman"/>
        </w:rPr>
        <w:t>70</w:t>
      </w:r>
      <w:r>
        <w:rPr>
          <w:rFonts w:ascii="Times New Roman" w:hAnsi="Times New Roman"/>
        </w:rPr>
        <w:t>岁</w:t>
      </w:r>
      <w:r>
        <w:rPr>
          <w:rFonts w:ascii="Times New Roman" w:hAnsi="Times New Roman" w:hint="eastAsia"/>
        </w:rPr>
        <w:t>”</w:t>
      </w:r>
      <w:r>
        <w:rPr>
          <w:rFonts w:ascii="Times New Roman" w:hAnsi="Times New Roman"/>
        </w:rPr>
        <w:t>描述，以保障满足此条件的人数多于</w:t>
      </w:r>
      <w:r>
        <w:rPr>
          <w:rFonts w:ascii="Times New Roman" w:hAnsi="Times New Roman"/>
        </w:rPr>
        <w:t>20000</w:t>
      </w:r>
      <w:r>
        <w:rPr>
          <w:rFonts w:ascii="Times New Roman" w:hAnsi="Times New Roman"/>
        </w:rPr>
        <w:t>人。</w:t>
      </w:r>
    </w:p>
    <w:p w14:paraId="65033E02" w14:textId="77777777" w:rsidR="00C75386" w:rsidRDefault="00000000">
      <w:pPr>
        <w:pStyle w:val="affffffffffff1"/>
        <w:numPr>
          <w:ilvl w:val="0"/>
          <w:numId w:val="35"/>
        </w:numPr>
        <w:spacing w:line="240" w:lineRule="auto"/>
        <w:ind w:left="840" w:firstLineChars="0" w:hanging="420"/>
        <w:rPr>
          <w:rFonts w:ascii="Times New Roman" w:hAnsi="Times New Roman"/>
        </w:rPr>
      </w:pPr>
      <w:r>
        <w:rPr>
          <w:rFonts w:ascii="Times New Roman" w:hAnsi="Times New Roman"/>
        </w:rPr>
        <w:t>部分屏蔽。使用数值的高位部分代替原有数值，如百分制考试成绩全部使用去掉个位数、</w:t>
      </w:r>
      <w:proofErr w:type="gramStart"/>
      <w:r>
        <w:rPr>
          <w:rFonts w:ascii="Times New Roman" w:hAnsi="Times New Roman"/>
        </w:rPr>
        <w:t>保留十</w:t>
      </w:r>
      <w:proofErr w:type="gramEnd"/>
      <w:r>
        <w:rPr>
          <w:rFonts w:ascii="Times New Roman" w:hAnsi="Times New Roman"/>
        </w:rPr>
        <w:t>位数的数值代替。</w:t>
      </w:r>
    </w:p>
    <w:p w14:paraId="486EB4BC" w14:textId="77777777" w:rsidR="00C75386" w:rsidRDefault="00000000">
      <w:pPr>
        <w:pStyle w:val="affffffffffff1"/>
        <w:numPr>
          <w:ilvl w:val="0"/>
          <w:numId w:val="35"/>
        </w:numPr>
        <w:spacing w:line="240" w:lineRule="auto"/>
        <w:ind w:left="840" w:firstLineChars="0" w:hanging="420"/>
        <w:rPr>
          <w:rFonts w:ascii="Times New Roman" w:hAnsi="Times New Roman"/>
        </w:rPr>
      </w:pPr>
      <w:r>
        <w:rPr>
          <w:rFonts w:ascii="Times New Roman" w:hAnsi="Times New Roman"/>
        </w:rPr>
        <w:t>记录交换。使用数据集中其他记录的相应数值代替本记录的数值。如设定规则，将记录集中的所有的身高数据取出并全部打乱位置后（其他属性数据位置不变）放回原数据集中。这种方法可以保持数据集的统计特性不变。</w:t>
      </w:r>
    </w:p>
    <w:p w14:paraId="5A185A40" w14:textId="77777777" w:rsidR="00C75386" w:rsidRDefault="00000000">
      <w:pPr>
        <w:pStyle w:val="affffffffffff1"/>
        <w:numPr>
          <w:ilvl w:val="0"/>
          <w:numId w:val="35"/>
        </w:numPr>
        <w:spacing w:line="240" w:lineRule="auto"/>
        <w:ind w:left="840" w:firstLineChars="0" w:hanging="420"/>
        <w:rPr>
          <w:rFonts w:ascii="Times New Roman" w:hAnsi="Times New Roman"/>
        </w:rPr>
      </w:pPr>
      <w:r>
        <w:rPr>
          <w:rFonts w:ascii="Times New Roman" w:hAnsi="Times New Roman"/>
        </w:rPr>
        <w:t>噪声添加。相对原始数据，产生微小的随机数，将其加到原始数值上并代替原始数值。如对于身高</w:t>
      </w:r>
      <w:r>
        <w:rPr>
          <w:rFonts w:ascii="Times New Roman" w:hAnsi="Times New Roman"/>
        </w:rPr>
        <w:t>1.72m</w:t>
      </w:r>
      <w:r>
        <w:rPr>
          <w:rFonts w:ascii="Times New Roman" w:hAnsi="Times New Roman"/>
        </w:rPr>
        <w:t>，</w:t>
      </w:r>
      <w:r>
        <w:rPr>
          <w:rFonts w:ascii="Times New Roman" w:hAnsi="Times New Roman"/>
        </w:rPr>
        <w:t xml:space="preserve"> </w:t>
      </w:r>
      <w:r>
        <w:rPr>
          <w:rFonts w:ascii="Times New Roman" w:hAnsi="Times New Roman"/>
        </w:rPr>
        <w:t>产生随机数值</w:t>
      </w:r>
      <w:r>
        <w:rPr>
          <w:rFonts w:ascii="Times New Roman" w:hAnsi="Times New Roman"/>
        </w:rPr>
        <w:t>-0.11m</w:t>
      </w:r>
      <w:r>
        <w:rPr>
          <w:rFonts w:ascii="Times New Roman" w:hAnsi="Times New Roman"/>
        </w:rPr>
        <w:t>，加到原始数值后将其变为</w:t>
      </w:r>
      <w:r>
        <w:rPr>
          <w:rFonts w:ascii="Times New Roman" w:hAnsi="Times New Roman"/>
        </w:rPr>
        <w:t>1.61m</w:t>
      </w:r>
      <w:r>
        <w:rPr>
          <w:rFonts w:ascii="Times New Roman" w:hAnsi="Times New Roman"/>
        </w:rPr>
        <w:t>。</w:t>
      </w:r>
    </w:p>
    <w:p w14:paraId="734B2DCD" w14:textId="77777777" w:rsidR="00C75386" w:rsidRDefault="00000000">
      <w:pPr>
        <w:pStyle w:val="affffffffffff1"/>
        <w:numPr>
          <w:ilvl w:val="0"/>
          <w:numId w:val="35"/>
        </w:numPr>
        <w:spacing w:line="240" w:lineRule="auto"/>
        <w:ind w:left="840" w:firstLineChars="0" w:hanging="420"/>
        <w:rPr>
          <w:rFonts w:ascii="Times New Roman" w:hAnsi="Times New Roman"/>
          <w:sz w:val="24"/>
          <w:szCs w:val="24"/>
        </w:rPr>
      </w:pPr>
      <w:r>
        <w:rPr>
          <w:rFonts w:ascii="Times New Roman" w:hAnsi="Times New Roman"/>
        </w:rPr>
        <w:t>数据合成。采用重新产生的数据替代原始数据，数据产生方法可以采用确定性方法或随机性方法。如使用</w:t>
      </w:r>
      <w:r>
        <w:rPr>
          <w:rFonts w:ascii="Times New Roman" w:hAnsi="Times New Roman" w:hint="eastAsia"/>
        </w:rPr>
        <w:t>“</w:t>
      </w:r>
      <w:r>
        <w:rPr>
          <w:rFonts w:ascii="Times New Roman" w:hAnsi="Times New Roman"/>
        </w:rPr>
        <w:t>19</w:t>
      </w:r>
      <w:r>
        <w:rPr>
          <w:rFonts w:ascii="Times New Roman" w:hAnsi="Times New Roman" w:hint="eastAsia"/>
        </w:rPr>
        <w:t>”</w:t>
      </w:r>
      <w:proofErr w:type="gramStart"/>
      <w:r>
        <w:rPr>
          <w:rFonts w:ascii="Times New Roman" w:hAnsi="Times New Roman"/>
        </w:rPr>
        <w:t>岁年龄</w:t>
      </w:r>
      <w:proofErr w:type="gramEnd"/>
      <w:r>
        <w:rPr>
          <w:rFonts w:ascii="Times New Roman" w:hAnsi="Times New Roman"/>
        </w:rPr>
        <w:t>代替</w:t>
      </w:r>
      <w:r>
        <w:rPr>
          <w:rFonts w:ascii="Times New Roman" w:hAnsi="Times New Roman" w:hint="eastAsia"/>
        </w:rPr>
        <w:t>“</w:t>
      </w:r>
      <w:r>
        <w:rPr>
          <w:rFonts w:ascii="Times New Roman" w:hAnsi="Times New Roman"/>
        </w:rPr>
        <w:t>45</w:t>
      </w:r>
      <w:r>
        <w:rPr>
          <w:rFonts w:ascii="Times New Roman" w:hAnsi="Times New Roman" w:hint="eastAsia"/>
        </w:rPr>
        <w:t>”</w:t>
      </w:r>
      <w:r>
        <w:rPr>
          <w:rFonts w:ascii="Times New Roman" w:hAnsi="Times New Roman"/>
        </w:rPr>
        <w:t>岁年龄。</w:t>
      </w:r>
    </w:p>
    <w:p w14:paraId="26290889" w14:textId="77777777" w:rsidR="00C75386" w:rsidRDefault="00C75386">
      <w:pPr>
        <w:pStyle w:val="affffffffffff1"/>
        <w:spacing w:line="240" w:lineRule="auto"/>
        <w:ind w:firstLineChars="0" w:firstLine="0"/>
        <w:rPr>
          <w:rFonts w:ascii="Times New Roman" w:hAnsi="Times New Roman"/>
        </w:rPr>
      </w:pPr>
    </w:p>
    <w:p w14:paraId="0F393B60" w14:textId="77777777" w:rsidR="00C75386" w:rsidRDefault="00C75386">
      <w:pPr>
        <w:pStyle w:val="affffffffffff1"/>
        <w:spacing w:line="240" w:lineRule="auto"/>
        <w:ind w:firstLineChars="0" w:firstLine="0"/>
        <w:rPr>
          <w:rFonts w:ascii="Times New Roman" w:hAnsi="Times New Roman"/>
        </w:rPr>
      </w:pPr>
    </w:p>
    <w:p w14:paraId="21A78FEB" w14:textId="77777777" w:rsidR="00C75386" w:rsidRDefault="00000000">
      <w:pPr>
        <w:pStyle w:val="afff"/>
        <w:spacing w:before="120" w:after="120"/>
      </w:pPr>
      <w:r>
        <w:rPr>
          <w:rFonts w:hint="eastAsia"/>
        </w:rPr>
        <w:t>日期去标识</w:t>
      </w:r>
    </w:p>
    <w:p w14:paraId="3448ED22" w14:textId="77777777" w:rsidR="00C75386" w:rsidRDefault="00000000">
      <w:pPr>
        <w:pStyle w:val="affffffffffff1"/>
        <w:spacing w:line="240" w:lineRule="auto"/>
        <w:rPr>
          <w:rFonts w:ascii="Times New Roman" w:hAnsi="Times New Roman"/>
        </w:rPr>
      </w:pPr>
      <w:r>
        <w:rPr>
          <w:rFonts w:ascii="Times New Roman" w:hAnsi="Times New Roman"/>
        </w:rPr>
        <w:t>在数据集中，日期有多种存在形式，包括出生日期、开始日期、纪念日等。常见的对日期的去标识化，方法包括：</w:t>
      </w:r>
    </w:p>
    <w:p w14:paraId="6CBE051E" w14:textId="77777777" w:rsidR="00C75386" w:rsidRDefault="00000000">
      <w:pPr>
        <w:pStyle w:val="affffffffffff1"/>
        <w:numPr>
          <w:ilvl w:val="0"/>
          <w:numId w:val="36"/>
        </w:numPr>
        <w:spacing w:line="240" w:lineRule="auto"/>
        <w:ind w:left="840" w:firstLineChars="0" w:hanging="420"/>
        <w:rPr>
          <w:rFonts w:ascii="Times New Roman" w:hAnsi="Times New Roman"/>
        </w:rPr>
      </w:pPr>
      <w:r>
        <w:rPr>
          <w:rFonts w:ascii="Times New Roman" w:hAnsi="Times New Roman"/>
        </w:rPr>
        <w:lastRenderedPageBreak/>
        <w:t>泛化编码。使用概括、抽象的日期来表示，如使用</w:t>
      </w:r>
      <w:r>
        <w:rPr>
          <w:rFonts w:ascii="Times New Roman" w:hAnsi="Times New Roman"/>
        </w:rPr>
        <w:t>1880</w:t>
      </w:r>
      <w:r>
        <w:rPr>
          <w:rFonts w:ascii="Times New Roman" w:hAnsi="Times New Roman"/>
        </w:rPr>
        <w:t>年代替</w:t>
      </w:r>
      <w:r>
        <w:rPr>
          <w:rFonts w:ascii="Times New Roman" w:hAnsi="Times New Roman"/>
        </w:rPr>
        <w:t>1880</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w:t>
      </w:r>
    </w:p>
    <w:p w14:paraId="50D752F3" w14:textId="77777777" w:rsidR="00C75386" w:rsidRDefault="00000000">
      <w:pPr>
        <w:pStyle w:val="affffffffffff1"/>
        <w:numPr>
          <w:ilvl w:val="0"/>
          <w:numId w:val="36"/>
        </w:numPr>
        <w:spacing w:line="240" w:lineRule="auto"/>
        <w:ind w:left="840" w:firstLineChars="0" w:hanging="420"/>
        <w:rPr>
          <w:rFonts w:ascii="Times New Roman" w:hAnsi="Times New Roman"/>
        </w:rPr>
      </w:pPr>
      <w:r>
        <w:rPr>
          <w:rFonts w:ascii="Times New Roman" w:hAnsi="Times New Roman"/>
        </w:rPr>
        <w:t>抑制屏蔽。直接删除日期数据或使用统一的</w:t>
      </w:r>
      <w:r>
        <w:rPr>
          <w:rFonts w:ascii="Times New Roman" w:hAnsi="Times New Roman" w:hint="eastAsia"/>
        </w:rPr>
        <w:t>“</w:t>
      </w:r>
      <w:r>
        <w:rPr>
          <w:rFonts w:ascii="Times New Roman" w:hAnsi="Times New Roman"/>
        </w:rPr>
        <w:t>*</w:t>
      </w:r>
      <w:r>
        <w:rPr>
          <w:rFonts w:ascii="Times New Roman" w:hAnsi="Times New Roman" w:hint="eastAsia"/>
        </w:rPr>
        <w:t>”</w:t>
      </w:r>
      <w:r>
        <w:rPr>
          <w:rFonts w:ascii="Times New Roman" w:hAnsi="Times New Roman"/>
        </w:rPr>
        <w:t>来表示。如所有的数值都使用</w:t>
      </w:r>
      <w:r>
        <w:rPr>
          <w:rFonts w:ascii="Times New Roman" w:hAnsi="Times New Roman" w:hint="eastAsia"/>
        </w:rPr>
        <w:t>“</w:t>
      </w:r>
      <w:r>
        <w:rPr>
          <w:rFonts w:ascii="Times New Roman" w:hAnsi="Times New Roman"/>
        </w:rPr>
        <w:t>某年某日</w:t>
      </w:r>
      <w:r>
        <w:rPr>
          <w:rFonts w:ascii="Times New Roman" w:hAnsi="Times New Roman" w:hint="eastAsia"/>
        </w:rPr>
        <w:t>”</w:t>
      </w:r>
      <w:r>
        <w:rPr>
          <w:rFonts w:ascii="Times New Roman" w:hAnsi="Times New Roman"/>
        </w:rPr>
        <w:t>代替。</w:t>
      </w:r>
    </w:p>
    <w:p w14:paraId="6F960246" w14:textId="77777777" w:rsidR="00C75386" w:rsidRDefault="00000000">
      <w:pPr>
        <w:pStyle w:val="affffffffffff1"/>
        <w:numPr>
          <w:ilvl w:val="0"/>
          <w:numId w:val="36"/>
        </w:numPr>
        <w:spacing w:line="240" w:lineRule="auto"/>
        <w:ind w:left="840" w:firstLineChars="0" w:hanging="420"/>
        <w:rPr>
          <w:rFonts w:ascii="Times New Roman" w:hAnsi="Times New Roman"/>
        </w:rPr>
      </w:pPr>
      <w:r>
        <w:rPr>
          <w:rFonts w:ascii="Times New Roman" w:hAnsi="Times New Roman"/>
        </w:rPr>
        <w:t>部分屏蔽。对日期中的一部分做屏蔽，如</w:t>
      </w:r>
      <w:r>
        <w:rPr>
          <w:rFonts w:ascii="Times New Roman" w:hAnsi="Times New Roman"/>
        </w:rPr>
        <w:t>1880</w:t>
      </w:r>
      <w:r>
        <w:rPr>
          <w:rFonts w:ascii="Times New Roman" w:hAnsi="Times New Roman"/>
        </w:rPr>
        <w:t>年某月</w:t>
      </w:r>
      <w:r>
        <w:rPr>
          <w:rFonts w:ascii="Times New Roman" w:hAnsi="Times New Roman"/>
        </w:rPr>
        <w:t>1</w:t>
      </w:r>
      <w:r>
        <w:rPr>
          <w:rFonts w:ascii="Times New Roman" w:hAnsi="Times New Roman"/>
        </w:rPr>
        <w:t>日代替</w:t>
      </w:r>
      <w:r>
        <w:rPr>
          <w:rFonts w:ascii="Times New Roman" w:hAnsi="Times New Roman"/>
        </w:rPr>
        <w:t>1880</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w:t>
      </w:r>
    </w:p>
    <w:p w14:paraId="68E23B00" w14:textId="77777777" w:rsidR="00C75386" w:rsidRDefault="00000000">
      <w:pPr>
        <w:pStyle w:val="affffffffffff1"/>
        <w:numPr>
          <w:ilvl w:val="0"/>
          <w:numId w:val="36"/>
        </w:numPr>
        <w:spacing w:line="240" w:lineRule="auto"/>
        <w:ind w:left="840" w:firstLineChars="0" w:hanging="420"/>
        <w:rPr>
          <w:rFonts w:ascii="Times New Roman" w:hAnsi="Times New Roman"/>
        </w:rPr>
      </w:pPr>
      <w:r>
        <w:rPr>
          <w:rFonts w:ascii="Times New Roman" w:hAnsi="Times New Roman"/>
        </w:rPr>
        <w:t>记录交换。使用数据集中其他记录的相应数值代替本记录的数值。如设定规则，将记录集中的所有的日期数据取出并全部打乱位置后（其他属性数据位置不变）放回到原数据集中。这种方法有利于保持数据集的统计特性。</w:t>
      </w:r>
    </w:p>
    <w:p w14:paraId="49FE6DB4" w14:textId="77777777" w:rsidR="00C75386" w:rsidRDefault="00000000">
      <w:pPr>
        <w:pStyle w:val="affffffffffff1"/>
        <w:numPr>
          <w:ilvl w:val="0"/>
          <w:numId w:val="36"/>
        </w:numPr>
        <w:spacing w:line="240" w:lineRule="auto"/>
        <w:ind w:left="840" w:firstLineChars="0" w:hanging="420"/>
        <w:rPr>
          <w:rFonts w:ascii="Times New Roman" w:hAnsi="Times New Roman"/>
        </w:rPr>
      </w:pPr>
      <w:r>
        <w:rPr>
          <w:rFonts w:ascii="Times New Roman" w:hAnsi="Times New Roman"/>
        </w:rPr>
        <w:t>噪声添加。相对原始数据，产生微小的随机数，将其加到原始数值上并代替原始数值。如对于出生日期</w:t>
      </w:r>
      <w:r>
        <w:rPr>
          <w:rFonts w:ascii="Times New Roman" w:hAnsi="Times New Roman"/>
        </w:rPr>
        <w:t>1880</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日，产生随数值</w:t>
      </w:r>
      <w:r>
        <w:rPr>
          <w:rFonts w:ascii="Times New Roman" w:hAnsi="Times New Roman"/>
        </w:rPr>
        <w:t>32</w:t>
      </w:r>
      <w:r>
        <w:rPr>
          <w:rFonts w:ascii="Times New Roman" w:hAnsi="Times New Roman"/>
        </w:rPr>
        <w:t>天，加到原始数值后将其变为</w:t>
      </w:r>
      <w:r>
        <w:rPr>
          <w:rFonts w:ascii="Times New Roman" w:hAnsi="Times New Roman"/>
        </w:rPr>
        <w:t>1880</w:t>
      </w:r>
      <w:r>
        <w:rPr>
          <w:rFonts w:ascii="Times New Roman" w:hAnsi="Times New Roman"/>
        </w:rPr>
        <w:t>年</w:t>
      </w:r>
      <w:r>
        <w:rPr>
          <w:rFonts w:ascii="Times New Roman" w:hAnsi="Times New Roman"/>
        </w:rPr>
        <w:t>2</w:t>
      </w:r>
      <w:r>
        <w:rPr>
          <w:rFonts w:ascii="Times New Roman" w:hAnsi="Times New Roman"/>
        </w:rPr>
        <w:t>月</w:t>
      </w:r>
      <w:r>
        <w:rPr>
          <w:rFonts w:ascii="Times New Roman" w:hAnsi="Times New Roman"/>
        </w:rPr>
        <w:t>2</w:t>
      </w:r>
      <w:r>
        <w:rPr>
          <w:rFonts w:ascii="Times New Roman" w:hAnsi="Times New Roman"/>
        </w:rPr>
        <w:t>日。</w:t>
      </w:r>
    </w:p>
    <w:p w14:paraId="40C37226" w14:textId="77777777" w:rsidR="00C75386" w:rsidRDefault="00000000">
      <w:pPr>
        <w:pStyle w:val="affffffffffff1"/>
        <w:numPr>
          <w:ilvl w:val="0"/>
          <w:numId w:val="36"/>
        </w:numPr>
        <w:spacing w:line="240" w:lineRule="auto"/>
        <w:ind w:left="840" w:firstLineChars="0" w:hanging="420"/>
        <w:rPr>
          <w:rFonts w:ascii="Times New Roman" w:hAnsi="Times New Roman"/>
        </w:rPr>
      </w:pPr>
      <w:r>
        <w:rPr>
          <w:rFonts w:ascii="Times New Roman" w:hAnsi="Times New Roman"/>
        </w:rPr>
        <w:t>数据合成。采用重新产生的数据替代原日期数据，如使用</w:t>
      </w:r>
      <w:bookmarkStart w:id="48" w:name="OLE_LINK2"/>
      <w:r>
        <w:rPr>
          <w:rFonts w:ascii="Times New Roman" w:hAnsi="Times New Roman" w:hint="eastAsia"/>
        </w:rPr>
        <w:t>“</w:t>
      </w:r>
      <w:bookmarkEnd w:id="48"/>
      <w:r>
        <w:rPr>
          <w:rFonts w:ascii="Times New Roman" w:hAnsi="Times New Roman"/>
        </w:rPr>
        <w:t>1972</w:t>
      </w:r>
      <w:r>
        <w:rPr>
          <w:rFonts w:ascii="Times New Roman" w:hAnsi="Times New Roman"/>
        </w:rPr>
        <w:t>年</w:t>
      </w:r>
      <w:r>
        <w:rPr>
          <w:rFonts w:ascii="Times New Roman" w:hAnsi="Times New Roman"/>
        </w:rPr>
        <w:t>8</w:t>
      </w:r>
      <w:r>
        <w:rPr>
          <w:rFonts w:ascii="Times New Roman" w:hAnsi="Times New Roman"/>
        </w:rPr>
        <w:t>月</w:t>
      </w:r>
      <w:r>
        <w:rPr>
          <w:rFonts w:ascii="Times New Roman" w:hAnsi="Times New Roman"/>
        </w:rPr>
        <w:t>12</w:t>
      </w:r>
      <w:r>
        <w:rPr>
          <w:rFonts w:ascii="Times New Roman" w:hAnsi="Times New Roman"/>
        </w:rPr>
        <w:t>日</w:t>
      </w:r>
      <w:r>
        <w:rPr>
          <w:rFonts w:ascii="Times New Roman" w:hAnsi="Times New Roman" w:hint="eastAsia"/>
        </w:rPr>
        <w:t>”</w:t>
      </w:r>
      <w:r>
        <w:rPr>
          <w:rFonts w:ascii="Times New Roman" w:hAnsi="Times New Roman"/>
        </w:rPr>
        <w:t>代替</w:t>
      </w:r>
      <w:r>
        <w:rPr>
          <w:rFonts w:ascii="Times New Roman" w:hAnsi="Times New Roman" w:hint="eastAsia"/>
        </w:rPr>
        <w:t>“</w:t>
      </w:r>
      <w:r>
        <w:rPr>
          <w:rFonts w:ascii="Times New Roman" w:hAnsi="Times New Roman"/>
        </w:rPr>
        <w:t>1880</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w:t>
      </w:r>
      <w:r>
        <w:rPr>
          <w:rFonts w:ascii="Times New Roman" w:hAnsi="Times New Roman" w:hint="eastAsia"/>
        </w:rPr>
        <w:t>”</w:t>
      </w:r>
      <w:r>
        <w:rPr>
          <w:rFonts w:ascii="Times New Roman" w:hAnsi="Times New Roman"/>
        </w:rPr>
        <w:t>。</w:t>
      </w:r>
    </w:p>
    <w:p w14:paraId="24FEFAE4" w14:textId="77777777" w:rsidR="00C75386" w:rsidRDefault="00C75386">
      <w:pPr>
        <w:pStyle w:val="afffffa"/>
        <w:ind w:firstLine="420"/>
      </w:pPr>
    </w:p>
    <w:p w14:paraId="64EBC38F" w14:textId="77777777" w:rsidR="00C75386" w:rsidRDefault="00000000">
      <w:pPr>
        <w:pStyle w:val="affd"/>
        <w:spacing w:before="120" w:after="120"/>
      </w:pPr>
      <w:bookmarkStart w:id="49" w:name="_Toc20664"/>
      <w:r>
        <w:rPr>
          <w:rFonts w:hint="eastAsia"/>
        </w:rPr>
        <w:t>数据处理标准</w:t>
      </w:r>
      <w:bookmarkEnd w:id="49"/>
    </w:p>
    <w:p w14:paraId="43BA30C5" w14:textId="77777777" w:rsidR="00C75386" w:rsidRDefault="00000000">
      <w:pPr>
        <w:pStyle w:val="affe"/>
        <w:spacing w:before="120" w:after="120"/>
      </w:pPr>
      <w:r>
        <w:rPr>
          <w:rFonts w:hint="eastAsia"/>
        </w:rPr>
        <w:t>数据清洗规则</w:t>
      </w:r>
    </w:p>
    <w:p w14:paraId="58EDDE04" w14:textId="77777777" w:rsidR="00C75386" w:rsidRDefault="00000000">
      <w:pPr>
        <w:spacing w:line="240" w:lineRule="auto"/>
        <w:ind w:leftChars="29" w:left="61" w:firstLineChars="200" w:firstLine="420"/>
        <w:rPr>
          <w:rFonts w:ascii="宋体" w:hAnsi="Times New Roman"/>
          <w:kern w:val="0"/>
          <w:szCs w:val="20"/>
        </w:rPr>
      </w:pPr>
      <w:r>
        <w:rPr>
          <w:rFonts w:ascii="宋体" w:hAnsi="Times New Roman" w:hint="eastAsia"/>
          <w:kern w:val="0"/>
          <w:szCs w:val="20"/>
        </w:rPr>
        <w:t>数据清洗范围包括</w:t>
      </w:r>
      <w:proofErr w:type="gramStart"/>
      <w:r>
        <w:rPr>
          <w:rFonts w:ascii="宋体" w:hAnsi="Times New Roman" w:hint="eastAsia"/>
          <w:kern w:val="0"/>
          <w:szCs w:val="20"/>
        </w:rPr>
        <w:t>非空检核</w:t>
      </w:r>
      <w:proofErr w:type="gramEnd"/>
      <w:r>
        <w:rPr>
          <w:rFonts w:ascii="宋体" w:hAnsi="Times New Roman" w:hint="eastAsia"/>
          <w:kern w:val="0"/>
          <w:szCs w:val="20"/>
        </w:rPr>
        <w:t>、主键重复、非法代码清洗、非法值清洗、数据格式检核、</w:t>
      </w:r>
      <w:proofErr w:type="gramStart"/>
      <w:r>
        <w:rPr>
          <w:rFonts w:ascii="宋体" w:hAnsi="Times New Roman" w:hint="eastAsia"/>
          <w:kern w:val="0"/>
          <w:szCs w:val="20"/>
        </w:rPr>
        <w:t>记录数检核</w:t>
      </w:r>
      <w:proofErr w:type="gramEnd"/>
      <w:r>
        <w:rPr>
          <w:rFonts w:ascii="宋体" w:hAnsi="Times New Roman" w:hint="eastAsia"/>
          <w:kern w:val="0"/>
          <w:szCs w:val="20"/>
        </w:rPr>
        <w:t>和业务约束核验，具体如下：</w:t>
      </w:r>
    </w:p>
    <w:p w14:paraId="386B213C" w14:textId="77777777" w:rsidR="00C75386" w:rsidRDefault="00000000">
      <w:pPr>
        <w:pStyle w:val="affffffffffff1"/>
        <w:numPr>
          <w:ilvl w:val="0"/>
          <w:numId w:val="37"/>
        </w:numPr>
        <w:spacing w:line="240" w:lineRule="auto"/>
        <w:ind w:left="840" w:firstLineChars="0" w:hanging="360"/>
        <w:rPr>
          <w:rFonts w:ascii="Times New Roman" w:hAnsi="Times New Roman"/>
        </w:rPr>
      </w:pPr>
      <w:proofErr w:type="gramStart"/>
      <w:r>
        <w:rPr>
          <w:rFonts w:ascii="Times New Roman" w:hAnsi="Times New Roman"/>
        </w:rPr>
        <w:t>非空检核</w:t>
      </w:r>
      <w:proofErr w:type="gramEnd"/>
      <w:r>
        <w:rPr>
          <w:rFonts w:ascii="Times New Roman" w:hAnsi="Times New Roman"/>
        </w:rPr>
        <w:t>：要求字段为非空的情况下，</w:t>
      </w:r>
      <w:r>
        <w:rPr>
          <w:rFonts w:ascii="Times New Roman" w:hAnsi="Times New Roman"/>
        </w:rPr>
        <w:t xml:space="preserve"> </w:t>
      </w:r>
      <w:r>
        <w:rPr>
          <w:rFonts w:ascii="Times New Roman" w:hAnsi="Times New Roman"/>
        </w:rPr>
        <w:t>需要对该字段数据进行检核。</w:t>
      </w:r>
    </w:p>
    <w:p w14:paraId="00E6D637" w14:textId="77777777" w:rsidR="00C75386" w:rsidRDefault="00000000">
      <w:pPr>
        <w:pStyle w:val="affffffffffff1"/>
        <w:numPr>
          <w:ilvl w:val="0"/>
          <w:numId w:val="37"/>
        </w:numPr>
        <w:spacing w:line="240" w:lineRule="auto"/>
        <w:ind w:left="840" w:firstLineChars="0" w:hanging="360"/>
        <w:rPr>
          <w:rFonts w:ascii="Times New Roman" w:hAnsi="Times New Roman"/>
        </w:rPr>
      </w:pPr>
      <w:r>
        <w:rPr>
          <w:rFonts w:ascii="Times New Roman" w:hAnsi="Times New Roman"/>
        </w:rPr>
        <w:t>主键重复：多个业务系统中同类数据经过清洗后，在统一保存时，为保证主键唯一性，需进行检核工作。</w:t>
      </w:r>
    </w:p>
    <w:p w14:paraId="32B4A02C" w14:textId="77777777" w:rsidR="00C75386" w:rsidRDefault="00000000">
      <w:pPr>
        <w:pStyle w:val="affffffffffff1"/>
        <w:numPr>
          <w:ilvl w:val="0"/>
          <w:numId w:val="37"/>
        </w:numPr>
        <w:spacing w:line="240" w:lineRule="auto"/>
        <w:ind w:left="840" w:firstLineChars="0" w:hanging="360"/>
        <w:rPr>
          <w:rFonts w:ascii="Times New Roman" w:hAnsi="Times New Roman"/>
        </w:rPr>
      </w:pPr>
      <w:r>
        <w:rPr>
          <w:rFonts w:ascii="Times New Roman" w:hAnsi="Times New Roman"/>
        </w:rPr>
        <w:t>非法代码、非法值清洗：非法代码问题包括非法代码、代码与数据标准不一致等，非法</w:t>
      </w:r>
      <w:proofErr w:type="gramStart"/>
      <w:r>
        <w:rPr>
          <w:rFonts w:ascii="Times New Roman" w:hAnsi="Times New Roman"/>
        </w:rPr>
        <w:t>值问题</w:t>
      </w:r>
      <w:proofErr w:type="gramEnd"/>
      <w:r>
        <w:rPr>
          <w:rFonts w:ascii="Times New Roman" w:hAnsi="Times New Roman"/>
        </w:rPr>
        <w:t>包括取值错误、格式错误、多余字符、乱码等，需根据具体情况进行校核及修正。</w:t>
      </w:r>
    </w:p>
    <w:p w14:paraId="5671878F" w14:textId="77777777" w:rsidR="00C75386" w:rsidRDefault="00000000">
      <w:pPr>
        <w:pStyle w:val="affffffffffff1"/>
        <w:numPr>
          <w:ilvl w:val="0"/>
          <w:numId w:val="37"/>
        </w:numPr>
        <w:spacing w:line="240" w:lineRule="auto"/>
        <w:ind w:left="840" w:firstLineChars="0" w:hanging="360"/>
        <w:rPr>
          <w:rFonts w:ascii="Times New Roman" w:hAnsi="Times New Roman"/>
        </w:rPr>
      </w:pPr>
      <w:r>
        <w:rPr>
          <w:rFonts w:ascii="Times New Roman" w:hAnsi="Times New Roman"/>
        </w:rPr>
        <w:t>数据格式检核：通过检查表中属性值的格式是否正确来衡量其准确性，如时间格式、币种格式、多余字符、乱码。</w:t>
      </w:r>
    </w:p>
    <w:p w14:paraId="5C6A5A8B" w14:textId="77777777" w:rsidR="00C75386" w:rsidRDefault="00000000">
      <w:pPr>
        <w:pStyle w:val="affffffffffff1"/>
        <w:numPr>
          <w:ilvl w:val="0"/>
          <w:numId w:val="37"/>
        </w:numPr>
        <w:spacing w:line="240" w:lineRule="auto"/>
        <w:ind w:left="840" w:firstLineChars="0" w:hanging="360"/>
        <w:rPr>
          <w:rFonts w:ascii="Times New Roman" w:hAnsi="Times New Roman"/>
        </w:rPr>
      </w:pPr>
      <w:proofErr w:type="gramStart"/>
      <w:r>
        <w:rPr>
          <w:rFonts w:ascii="Times New Roman" w:hAnsi="Times New Roman"/>
        </w:rPr>
        <w:t>记录数检核</w:t>
      </w:r>
      <w:proofErr w:type="gramEnd"/>
      <w:r>
        <w:rPr>
          <w:rFonts w:ascii="Times New Roman" w:hAnsi="Times New Roman"/>
        </w:rPr>
        <w:t>：指各个系统相关数据之间的数据总数检</w:t>
      </w:r>
      <w:proofErr w:type="gramStart"/>
      <w:r>
        <w:rPr>
          <w:rFonts w:ascii="Times New Roman" w:hAnsi="Times New Roman"/>
        </w:rPr>
        <w:t>核或者</w:t>
      </w:r>
      <w:proofErr w:type="gramEnd"/>
      <w:r>
        <w:rPr>
          <w:rFonts w:ascii="Times New Roman" w:hAnsi="Times New Roman"/>
        </w:rPr>
        <w:t>数据表中每日数据量的波动检核。</w:t>
      </w:r>
    </w:p>
    <w:p w14:paraId="772063B4" w14:textId="77777777" w:rsidR="00C75386" w:rsidRDefault="00000000">
      <w:pPr>
        <w:pStyle w:val="affffffffffff1"/>
        <w:numPr>
          <w:ilvl w:val="0"/>
          <w:numId w:val="37"/>
        </w:numPr>
        <w:spacing w:line="240" w:lineRule="auto"/>
        <w:ind w:left="840" w:firstLineChars="0" w:hanging="360"/>
        <w:rPr>
          <w:rFonts w:ascii="Times New Roman" w:hAnsi="Times New Roman"/>
        </w:rPr>
      </w:pPr>
      <w:r>
        <w:rPr>
          <w:rFonts w:ascii="Times New Roman" w:hAnsi="Times New Roman"/>
        </w:rPr>
        <w:t>业务约束核验</w:t>
      </w:r>
      <w:r>
        <w:rPr>
          <w:rFonts w:ascii="Times New Roman" w:hAnsi="Times New Roman" w:hint="eastAsia"/>
        </w:rPr>
        <w:t>：</w:t>
      </w:r>
      <w:r>
        <w:rPr>
          <w:rFonts w:ascii="Times New Roman" w:hAnsi="Times New Roman"/>
        </w:rPr>
        <w:t>从业务的正确性、一致性、有效性等角度，考虑数据的核验规则，如：建档日期、入院日期、民族信息等的有效性核验。在处理数据过程中，</w:t>
      </w:r>
      <w:r>
        <w:rPr>
          <w:rFonts w:ascii="Times New Roman" w:hAnsi="Times New Roman" w:hint="eastAsia"/>
        </w:rPr>
        <w:t>应</w:t>
      </w:r>
      <w:r>
        <w:rPr>
          <w:rFonts w:ascii="Times New Roman" w:hAnsi="Times New Roman"/>
        </w:rPr>
        <w:t>与医院相关人员共同确定。</w:t>
      </w:r>
    </w:p>
    <w:p w14:paraId="309DEF18" w14:textId="77777777" w:rsidR="00C75386" w:rsidRDefault="00000000">
      <w:pPr>
        <w:pStyle w:val="affe"/>
        <w:spacing w:before="120" w:after="120"/>
      </w:pPr>
      <w:r>
        <w:rPr>
          <w:rFonts w:hint="eastAsia"/>
        </w:rPr>
        <w:t>脏数据处理</w:t>
      </w:r>
    </w:p>
    <w:p w14:paraId="35EA4B8E" w14:textId="77777777" w:rsidR="00C75386" w:rsidRDefault="00000000">
      <w:pPr>
        <w:spacing w:line="240" w:lineRule="auto"/>
        <w:ind w:leftChars="29" w:left="61" w:firstLineChars="200" w:firstLine="420"/>
        <w:rPr>
          <w:rFonts w:ascii="宋体" w:hAnsi="Times New Roman"/>
          <w:kern w:val="0"/>
          <w:szCs w:val="20"/>
        </w:rPr>
      </w:pPr>
      <w:r>
        <w:rPr>
          <w:rFonts w:ascii="宋体" w:hAnsi="Times New Roman" w:hint="eastAsia"/>
          <w:kern w:val="0"/>
          <w:szCs w:val="20"/>
        </w:rPr>
        <w:t>对于常见的空缺值、离群值和不一致等脏数据，采用人工检测、统计学方法、聚类、分类、基于距离、关联规则等方法来实现数据清洗。</w:t>
      </w:r>
    </w:p>
    <w:p w14:paraId="78614646" w14:textId="77777777" w:rsidR="00C75386" w:rsidRDefault="00000000">
      <w:pPr>
        <w:spacing w:line="240" w:lineRule="auto"/>
        <w:ind w:leftChars="29" w:left="61" w:firstLineChars="200" w:firstLine="420"/>
        <w:rPr>
          <w:rFonts w:ascii="宋体" w:hAnsi="Times New Roman"/>
          <w:kern w:val="0"/>
          <w:szCs w:val="20"/>
        </w:rPr>
      </w:pPr>
      <w:r>
        <w:rPr>
          <w:rFonts w:ascii="宋体" w:hAnsi="Times New Roman" w:hint="eastAsia"/>
          <w:kern w:val="0"/>
          <w:szCs w:val="20"/>
        </w:rPr>
        <w:t>根据缺陷类型分类，可以将</w:t>
      </w:r>
      <w:proofErr w:type="gramStart"/>
      <w:r>
        <w:rPr>
          <w:rFonts w:ascii="宋体" w:hAnsi="Times New Roman" w:hint="eastAsia"/>
          <w:kern w:val="0"/>
          <w:szCs w:val="20"/>
        </w:rPr>
        <w:t>脏数据分为缺失值</w:t>
      </w:r>
      <w:proofErr w:type="gramEnd"/>
      <w:r>
        <w:rPr>
          <w:rFonts w:ascii="宋体" w:hAnsi="Times New Roman" w:hint="eastAsia"/>
          <w:kern w:val="0"/>
          <w:szCs w:val="20"/>
        </w:rPr>
        <w:t>数据、错误数据和错误关联数据这三种典型问题数据，分别进行数据清洗。</w:t>
      </w:r>
    </w:p>
    <w:p w14:paraId="46D1D467" w14:textId="77777777" w:rsidR="00C75386" w:rsidRDefault="00C75386">
      <w:pPr>
        <w:spacing w:line="240" w:lineRule="auto"/>
        <w:ind w:firstLineChars="200" w:firstLine="420"/>
        <w:rPr>
          <w:rFonts w:ascii="宋体" w:hAnsi="Times New Roman"/>
          <w:kern w:val="0"/>
          <w:szCs w:val="20"/>
        </w:rPr>
      </w:pPr>
    </w:p>
    <w:p w14:paraId="7ACE5FB0" w14:textId="77777777" w:rsidR="00C75386" w:rsidRDefault="00000000">
      <w:pPr>
        <w:pStyle w:val="affd"/>
        <w:spacing w:before="120" w:after="120"/>
      </w:pPr>
      <w:bookmarkStart w:id="50" w:name="_Toc3290"/>
      <w:r>
        <w:rPr>
          <w:rFonts w:hint="eastAsia"/>
        </w:rPr>
        <w:t>数据加密标准</w:t>
      </w:r>
      <w:bookmarkEnd w:id="50"/>
    </w:p>
    <w:p w14:paraId="5A39CED5" w14:textId="77777777" w:rsidR="00C75386" w:rsidRDefault="00000000">
      <w:pPr>
        <w:pStyle w:val="affe"/>
        <w:spacing w:before="120" w:after="120"/>
      </w:pPr>
      <w:r>
        <w:rPr>
          <w:rFonts w:hint="eastAsia"/>
        </w:rPr>
        <w:t>数据加密规则</w:t>
      </w:r>
    </w:p>
    <w:p w14:paraId="76C0B0CB" w14:textId="77777777" w:rsidR="00C75386" w:rsidRDefault="00000000">
      <w:pPr>
        <w:pStyle w:val="afffffa"/>
        <w:ind w:firstLine="420"/>
      </w:pPr>
      <w:r>
        <w:rPr>
          <w:rFonts w:hint="eastAsia"/>
        </w:rPr>
        <w:t>数据加密是确保医疗数据安全</w:t>
      </w:r>
      <w:proofErr w:type="gramStart"/>
      <w:r>
        <w:rPr>
          <w:rFonts w:hint="eastAsia"/>
        </w:rPr>
        <w:t>最</w:t>
      </w:r>
      <w:proofErr w:type="gramEnd"/>
      <w:r>
        <w:rPr>
          <w:rFonts w:hint="eastAsia"/>
        </w:rPr>
        <w:t>经济、最直接、最有效的手段，数据加密在安全认证、加密保护、信任传递等方面的重要作用，可有效满足医疗数据安全流动的需求，实现从离散被动防御向整体主动免疫的本质转换。</w:t>
      </w:r>
    </w:p>
    <w:p w14:paraId="594B5FC5" w14:textId="77777777" w:rsidR="00C75386" w:rsidRDefault="00000000">
      <w:pPr>
        <w:pStyle w:val="afffffa"/>
        <w:numPr>
          <w:ilvl w:val="0"/>
          <w:numId w:val="38"/>
        </w:numPr>
        <w:ind w:firstLine="420"/>
      </w:pPr>
      <w:r>
        <w:rPr>
          <w:rFonts w:hint="eastAsia"/>
        </w:rPr>
        <w:t>物理防护：通过合</w:t>
      </w:r>
      <w:proofErr w:type="gramStart"/>
      <w:r>
        <w:rPr>
          <w:rFonts w:hint="eastAsia"/>
        </w:rPr>
        <w:t>规</w:t>
      </w:r>
      <w:proofErr w:type="gramEnd"/>
      <w:r>
        <w:rPr>
          <w:rFonts w:hint="eastAsia"/>
        </w:rPr>
        <w:t>、有效加密手段，能系统有效解决网络安全架构鉴别、访问控制、机密控制、抗抵赖等基本安全需求，形成从网络基础资源、信息设施、网络通道、接入终端、设备控制等全体系安全，从底层保障医疗数据的安全可控；</w:t>
      </w:r>
    </w:p>
    <w:p w14:paraId="3BA5E481" w14:textId="77777777" w:rsidR="00C75386" w:rsidRDefault="00000000">
      <w:pPr>
        <w:pStyle w:val="afffffa"/>
        <w:numPr>
          <w:ilvl w:val="0"/>
          <w:numId w:val="38"/>
        </w:numPr>
        <w:ind w:firstLine="420"/>
      </w:pPr>
      <w:r>
        <w:rPr>
          <w:rFonts w:hint="eastAsia"/>
        </w:rPr>
        <w:t>全流程防护：数据加密可以在医疗数据全生命周期发挥作用，从数据产生到传输、存储、处理、分析、共享待再利用，保障数据真实性、完整性、机密性和</w:t>
      </w:r>
      <w:proofErr w:type="gramStart"/>
      <w:r>
        <w:rPr>
          <w:rFonts w:hint="eastAsia"/>
        </w:rPr>
        <w:t>可</w:t>
      </w:r>
      <w:proofErr w:type="gramEnd"/>
      <w:r>
        <w:rPr>
          <w:rFonts w:hint="eastAsia"/>
        </w:rPr>
        <w:t>追溯性；</w:t>
      </w:r>
    </w:p>
    <w:p w14:paraId="663BFDD4" w14:textId="77777777" w:rsidR="00C75386" w:rsidRDefault="00000000">
      <w:pPr>
        <w:pStyle w:val="afffffa"/>
        <w:numPr>
          <w:ilvl w:val="0"/>
          <w:numId w:val="38"/>
        </w:numPr>
        <w:ind w:firstLine="420"/>
      </w:pPr>
      <w:r>
        <w:rPr>
          <w:rFonts w:hint="eastAsia"/>
        </w:rPr>
        <w:t>隐私计算：加密手段不仅可作用于医疗数据本身，还可有效保证算法计算的可信执行，防止恶意攻击，同时可保证算例可控可管、合法使用，确保计算结果的正确可靠；</w:t>
      </w:r>
    </w:p>
    <w:p w14:paraId="2685AD78" w14:textId="77777777" w:rsidR="00C75386" w:rsidRDefault="00000000">
      <w:pPr>
        <w:pStyle w:val="afffffa"/>
        <w:numPr>
          <w:ilvl w:val="0"/>
          <w:numId w:val="38"/>
        </w:numPr>
        <w:ind w:firstLine="420"/>
      </w:pPr>
      <w:r>
        <w:rPr>
          <w:rFonts w:hint="eastAsia"/>
        </w:rPr>
        <w:lastRenderedPageBreak/>
        <w:t>信任传递：基于加密的数据标识、数字签名等技术，可确保用户实体身份真实可信、数据来源真实可行，构建医疗数据</w:t>
      </w:r>
      <w:proofErr w:type="gramStart"/>
      <w:r>
        <w:rPr>
          <w:rFonts w:hint="eastAsia"/>
        </w:rPr>
        <w:t>资源共享及跨机构</w:t>
      </w:r>
      <w:proofErr w:type="gramEnd"/>
      <w:r>
        <w:rPr>
          <w:rFonts w:hint="eastAsia"/>
        </w:rPr>
        <w:t>、跨区域系统应用数据可信共享机制，实现数据资源按需共享、安全交互，保障数据的安全可信及互联互通；</w:t>
      </w:r>
    </w:p>
    <w:p w14:paraId="715CAD4E" w14:textId="77777777" w:rsidR="00C75386" w:rsidRDefault="00000000">
      <w:pPr>
        <w:pStyle w:val="afffffa"/>
        <w:numPr>
          <w:ilvl w:val="0"/>
          <w:numId w:val="38"/>
        </w:numPr>
        <w:ind w:firstLine="420"/>
      </w:pPr>
      <w:r>
        <w:rPr>
          <w:rFonts w:hint="eastAsia"/>
        </w:rPr>
        <w:t>加密监管：基于密码的身份识别、认证鉴权、信任传递、责任认定等手段，在医疗数据采集、存储与处理过程中对数据进行标识，并保存数据处理环节的标识信息，采用递归查询来检索源数据，实现关键数据流向、访问者、访问方式及访问时间的追踪，形成数据流向追踪图，重现数据的历史状态和演变过程，实现追踪溯源和数据使用行为的监管。</w:t>
      </w:r>
    </w:p>
    <w:p w14:paraId="0B718BF1" w14:textId="77777777" w:rsidR="00C75386" w:rsidRDefault="00000000">
      <w:pPr>
        <w:pStyle w:val="affe"/>
        <w:spacing w:before="120" w:after="120"/>
      </w:pPr>
      <w:r>
        <w:rPr>
          <w:rFonts w:hint="eastAsia"/>
        </w:rPr>
        <w:t>数据加密</w:t>
      </w:r>
    </w:p>
    <w:p w14:paraId="1E1240BE" w14:textId="77777777" w:rsidR="00C75386" w:rsidRDefault="00000000">
      <w:pPr>
        <w:pStyle w:val="afffffa"/>
        <w:ind w:firstLineChars="0" w:firstLine="420"/>
      </w:pPr>
      <w:r>
        <w:rPr>
          <w:rFonts w:hint="eastAsia"/>
        </w:rPr>
        <w:t>本标准处理的医疗数据，都处于医院内</w:t>
      </w:r>
      <w:proofErr w:type="gramStart"/>
      <w:r>
        <w:rPr>
          <w:rFonts w:hint="eastAsia"/>
        </w:rPr>
        <w:t>网环境</w:t>
      </w:r>
      <w:proofErr w:type="gramEnd"/>
      <w:r>
        <w:rPr>
          <w:rFonts w:hint="eastAsia"/>
        </w:rPr>
        <w:t>下，不存在医院内外</w:t>
      </w:r>
      <w:proofErr w:type="gramStart"/>
      <w:r>
        <w:rPr>
          <w:rFonts w:hint="eastAsia"/>
        </w:rPr>
        <w:t>网数据</w:t>
      </w:r>
      <w:proofErr w:type="gramEnd"/>
      <w:r>
        <w:rPr>
          <w:rFonts w:hint="eastAsia"/>
        </w:rPr>
        <w:t>交互，因此数据在传输、存储、处理时风险相对较低。</w:t>
      </w:r>
    </w:p>
    <w:p w14:paraId="3D4A8899" w14:textId="77777777" w:rsidR="00C75386" w:rsidRDefault="00000000">
      <w:pPr>
        <w:pStyle w:val="afffffa"/>
        <w:ind w:firstLineChars="0" w:firstLine="420"/>
      </w:pPr>
      <w:r>
        <w:rPr>
          <w:rFonts w:hint="eastAsia"/>
        </w:rPr>
        <w:t>广义而言，本标准所处理的数据，都在医院内网环境；但狭义而言，医院内</w:t>
      </w:r>
      <w:proofErr w:type="gramStart"/>
      <w:r>
        <w:rPr>
          <w:rFonts w:hint="eastAsia"/>
        </w:rPr>
        <w:t>网环境</w:t>
      </w:r>
      <w:proofErr w:type="gramEnd"/>
      <w:r>
        <w:rPr>
          <w:rFonts w:hint="eastAsia"/>
        </w:rPr>
        <w:t>也分为两个层次，医院信息中心管辖的</w:t>
      </w:r>
      <w:proofErr w:type="gramStart"/>
      <w:r>
        <w:rPr>
          <w:rFonts w:hint="eastAsia"/>
        </w:rPr>
        <w:t>医疗大</w:t>
      </w:r>
      <w:proofErr w:type="gramEnd"/>
      <w:r>
        <w:rPr>
          <w:rFonts w:hint="eastAsia"/>
        </w:rPr>
        <w:t>数据平台和医生工作站中部署的内网数据处理服务器，两端数据存在交互。为进一步确保数据的安全，在医生工作站上处理的医疗数据，以患者姓名+患者唯一识别码+患者入院日期为表头，以SHA-256算法做加密处理，形成唯一的特征码做文件名进行交互，实现数据标注时，所有的患者基本（敏感）信息均被加密隐藏。</w:t>
      </w:r>
    </w:p>
    <w:p w14:paraId="6F672BAC" w14:textId="77777777" w:rsidR="00C75386" w:rsidRDefault="00C75386">
      <w:pPr>
        <w:pStyle w:val="afffffa"/>
        <w:ind w:firstLineChars="0" w:firstLine="420"/>
      </w:pPr>
    </w:p>
    <w:p w14:paraId="64035A5F" w14:textId="77777777" w:rsidR="00C75386" w:rsidRDefault="00000000">
      <w:pPr>
        <w:pStyle w:val="affd"/>
        <w:spacing w:before="120" w:after="120"/>
      </w:pPr>
      <w:bookmarkStart w:id="51" w:name="_Toc2143"/>
      <w:r>
        <w:rPr>
          <w:rFonts w:hint="eastAsia"/>
        </w:rPr>
        <w:t>数据处理质量控制</w:t>
      </w:r>
      <w:bookmarkEnd w:id="51"/>
    </w:p>
    <w:p w14:paraId="6FAED623" w14:textId="77777777" w:rsidR="00C75386" w:rsidRDefault="00000000">
      <w:pPr>
        <w:spacing w:line="240" w:lineRule="auto"/>
        <w:ind w:leftChars="29" w:left="61" w:firstLineChars="200" w:firstLine="420"/>
        <w:rPr>
          <w:rFonts w:ascii="宋体" w:hAnsi="Times New Roman"/>
          <w:kern w:val="0"/>
        </w:rPr>
      </w:pPr>
      <w:r>
        <w:rPr>
          <w:rFonts w:ascii="宋体" w:hAnsi="Times New Roman" w:hint="eastAsia"/>
          <w:kern w:val="0"/>
        </w:rPr>
        <w:t>数据处理完成后，应按照下面的方式进行人工复核验证：</w:t>
      </w:r>
    </w:p>
    <w:p w14:paraId="2159DE93" w14:textId="77777777" w:rsidR="00C75386" w:rsidRDefault="00000000">
      <w:pPr>
        <w:pStyle w:val="affffffffffff1"/>
        <w:numPr>
          <w:ilvl w:val="0"/>
          <w:numId w:val="39"/>
        </w:numPr>
        <w:spacing w:line="240" w:lineRule="auto"/>
        <w:ind w:left="840" w:firstLineChars="0" w:hanging="360"/>
        <w:rPr>
          <w:rFonts w:ascii="Times New Roman" w:hAnsi="Times New Roman"/>
        </w:rPr>
      </w:pPr>
      <w:r>
        <w:rPr>
          <w:rFonts w:ascii="Times New Roman" w:hAnsi="Times New Roman"/>
        </w:rPr>
        <w:t>初期的数据要求提供数据报告，包括接入数据范围（系统数量）、数据量（需要分类，比如患者、医嘱、处方、检验检查数量等）、数据纵深（起始到终止日期）。医院信息部门可进行宏观数据核验。</w:t>
      </w:r>
    </w:p>
    <w:p w14:paraId="0FBC6993" w14:textId="77777777" w:rsidR="00C75386" w:rsidRDefault="00000000">
      <w:pPr>
        <w:pStyle w:val="affffffffffff1"/>
        <w:numPr>
          <w:ilvl w:val="0"/>
          <w:numId w:val="39"/>
        </w:numPr>
        <w:spacing w:line="240" w:lineRule="auto"/>
        <w:ind w:left="840" w:firstLineChars="0" w:hanging="360"/>
        <w:rPr>
          <w:rFonts w:ascii="Times New Roman" w:hAnsi="Times New Roman"/>
        </w:rPr>
      </w:pPr>
      <w:r>
        <w:rPr>
          <w:rFonts w:ascii="Times New Roman" w:hAnsi="Times New Roman"/>
        </w:rPr>
        <w:t>数据质量抽样检查：比照</w:t>
      </w:r>
      <w:r>
        <w:rPr>
          <w:rFonts w:ascii="Times New Roman" w:hAnsi="Times New Roman"/>
        </w:rPr>
        <w:t>HIS</w:t>
      </w:r>
      <w:r>
        <w:rPr>
          <w:rFonts w:ascii="Times New Roman" w:hAnsi="Times New Roman"/>
        </w:rPr>
        <w:t>、</w:t>
      </w:r>
      <w:r>
        <w:rPr>
          <w:rFonts w:ascii="Times New Roman" w:hAnsi="Times New Roman"/>
        </w:rPr>
        <w:t>EMR</w:t>
      </w:r>
      <w:r>
        <w:rPr>
          <w:rFonts w:ascii="Times New Roman" w:hAnsi="Times New Roman"/>
        </w:rPr>
        <w:t>等业务系统的单个患者进行数据核验。</w:t>
      </w:r>
    </w:p>
    <w:p w14:paraId="4A2ADA68" w14:textId="77777777" w:rsidR="00C75386" w:rsidRDefault="00000000">
      <w:pPr>
        <w:pStyle w:val="affffffffffff1"/>
        <w:numPr>
          <w:ilvl w:val="0"/>
          <w:numId w:val="39"/>
        </w:numPr>
        <w:spacing w:line="240" w:lineRule="auto"/>
        <w:ind w:left="840" w:firstLineChars="0" w:hanging="360"/>
        <w:rPr>
          <w:rFonts w:ascii="Times New Roman" w:hAnsi="Times New Roman"/>
        </w:rPr>
      </w:pPr>
      <w:r>
        <w:rPr>
          <w:rFonts w:ascii="Times New Roman" w:hAnsi="Times New Roman"/>
        </w:rPr>
        <w:t>病案数据抽样检查：随机抽取一定数量的病例数据进行核对。</w:t>
      </w:r>
    </w:p>
    <w:p w14:paraId="6909B5D9" w14:textId="77777777" w:rsidR="00C75386" w:rsidRDefault="00000000">
      <w:pPr>
        <w:pStyle w:val="affffffffffff1"/>
        <w:numPr>
          <w:ilvl w:val="0"/>
          <w:numId w:val="39"/>
        </w:numPr>
        <w:spacing w:line="240" w:lineRule="auto"/>
        <w:ind w:left="840" w:firstLineChars="0" w:hanging="360"/>
        <w:rPr>
          <w:rFonts w:ascii="Times New Roman" w:hAnsi="Times New Roman"/>
          <w:sz w:val="24"/>
          <w:szCs w:val="24"/>
        </w:rPr>
      </w:pPr>
      <w:r>
        <w:rPr>
          <w:rFonts w:ascii="Times New Roman" w:hAnsi="Times New Roman"/>
        </w:rPr>
        <w:t>隐私数据检查：查看是否按照要求进行去隐私化处理，比如患者姓名、地址、身份证号等，可有意识的搜索隐私数据看可否能检索到。检出问题后及时汇总和分析出问题原因。要么接入对接偏差，要么工程师理解偏差，或是</w:t>
      </w:r>
      <w:proofErr w:type="gramStart"/>
      <w:r>
        <w:rPr>
          <w:rFonts w:ascii="Times New Roman" w:hAnsi="Times New Roman"/>
        </w:rPr>
        <w:t>后期后</w:t>
      </w:r>
      <w:proofErr w:type="gramEnd"/>
      <w:r>
        <w:rPr>
          <w:rFonts w:ascii="Times New Roman" w:hAnsi="Times New Roman"/>
        </w:rPr>
        <w:t>结构化归</w:t>
      </w:r>
      <w:proofErr w:type="gramStart"/>
      <w:r>
        <w:rPr>
          <w:rFonts w:ascii="Times New Roman" w:hAnsi="Times New Roman"/>
        </w:rPr>
        <w:t>一</w:t>
      </w:r>
      <w:proofErr w:type="gramEnd"/>
      <w:r>
        <w:rPr>
          <w:rFonts w:ascii="Times New Roman" w:hAnsi="Times New Roman"/>
        </w:rPr>
        <w:t>的次生原因，作为后期调整技术方案的依据。</w:t>
      </w:r>
    </w:p>
    <w:p w14:paraId="34923F84" w14:textId="77777777" w:rsidR="00C75386" w:rsidRDefault="00C75386">
      <w:pPr>
        <w:pStyle w:val="afffffa"/>
        <w:ind w:firstLine="420"/>
        <w:sectPr w:rsidR="00C75386">
          <w:pgSz w:w="11906" w:h="16838"/>
          <w:pgMar w:top="2410" w:right="1134" w:bottom="1134" w:left="1134" w:header="1418" w:footer="1134" w:gutter="284"/>
          <w:cols w:space="425"/>
          <w:formProt w:val="0"/>
          <w:docGrid w:linePitch="312"/>
        </w:sectPr>
      </w:pPr>
    </w:p>
    <w:p w14:paraId="699B8431" w14:textId="77777777" w:rsidR="00C75386" w:rsidRDefault="00C75386">
      <w:pPr>
        <w:pStyle w:val="afffffa"/>
        <w:ind w:firstLine="420"/>
      </w:pPr>
    </w:p>
    <w:p w14:paraId="0E2B3275" w14:textId="77777777" w:rsidR="00C75386" w:rsidRDefault="00C75386">
      <w:pPr>
        <w:pStyle w:val="afffffa"/>
        <w:ind w:firstLineChars="0" w:firstLine="0"/>
      </w:pPr>
    </w:p>
    <w:p w14:paraId="2A3B6023" w14:textId="77777777" w:rsidR="00C75386" w:rsidRDefault="00000000">
      <w:pPr>
        <w:pStyle w:val="affffff1"/>
        <w:spacing w:before="96" w:after="120"/>
      </w:pPr>
      <w:bookmarkStart w:id="52" w:name="_Toc80193028"/>
      <w:bookmarkStart w:id="53" w:name="_Toc7889"/>
      <w:bookmarkStart w:id="54" w:name="_Toc31871"/>
      <w:bookmarkStart w:id="55" w:name="BookMark6"/>
      <w:bookmarkEnd w:id="13"/>
      <w:r>
        <w:rPr>
          <w:rFonts w:hint="eastAsia"/>
          <w:spacing w:val="105"/>
        </w:rPr>
        <w:t>参考文</w:t>
      </w:r>
      <w:r>
        <w:rPr>
          <w:rFonts w:hint="eastAsia"/>
        </w:rPr>
        <w:t>献</w:t>
      </w:r>
      <w:bookmarkEnd w:id="52"/>
      <w:bookmarkEnd w:id="53"/>
      <w:bookmarkEnd w:id="54"/>
    </w:p>
    <w:p w14:paraId="42E3E9F1" w14:textId="77777777" w:rsidR="00C75386" w:rsidRDefault="00000000">
      <w:pPr>
        <w:pStyle w:val="afffffa"/>
        <w:ind w:firstLine="420"/>
      </w:pPr>
      <w:r>
        <w:rPr>
          <w:rFonts w:hint="eastAsia"/>
        </w:rPr>
        <w:t>[1]国家药品监督管理局医疗器械技术审评中心. 深度学习辅助决策医疗器械软件审评要点[Z], 2019.</w:t>
      </w:r>
    </w:p>
    <w:p w14:paraId="3C92AA7A" w14:textId="77777777" w:rsidR="00C75386" w:rsidRDefault="00000000">
      <w:pPr>
        <w:pStyle w:val="afffffa"/>
        <w:ind w:firstLine="420"/>
      </w:pPr>
      <w:r>
        <w:rPr>
          <w:rFonts w:hint="eastAsia"/>
        </w:rPr>
        <w:t>[2]国家药品监督管理局医疗器械技术审评中心. 人工智能医疗器械注册审查指导原则（征求意见稿）[Z], 2021.</w:t>
      </w:r>
    </w:p>
    <w:p w14:paraId="61A2E1AF" w14:textId="77777777" w:rsidR="00C75386" w:rsidRDefault="00000000">
      <w:pPr>
        <w:pStyle w:val="afffffa"/>
        <w:ind w:firstLine="420"/>
      </w:pPr>
      <w:r>
        <w:rPr>
          <w:rFonts w:hint="eastAsia"/>
        </w:rPr>
        <w:t>[3</w:t>
      </w:r>
      <w:r>
        <w:t>]</w:t>
      </w:r>
      <w:r>
        <w:rPr>
          <w:rFonts w:hint="eastAsia"/>
        </w:rPr>
        <w:t>人工智能医疗器械质量要求和评价 第3部分：数据标注通用要求(征求意见稿)</w:t>
      </w:r>
    </w:p>
    <w:p w14:paraId="11AF4FAD" w14:textId="77777777" w:rsidR="00C75386" w:rsidRDefault="00C75386">
      <w:pPr>
        <w:pStyle w:val="afffffa"/>
        <w:ind w:firstLine="420"/>
      </w:pPr>
    </w:p>
    <w:p w14:paraId="0D9061B7" w14:textId="77777777" w:rsidR="00C75386" w:rsidRDefault="00000000">
      <w:pPr>
        <w:pStyle w:val="afffffa"/>
        <w:ind w:firstLineChars="0" w:firstLine="0"/>
        <w:jc w:val="center"/>
      </w:pPr>
      <w:bookmarkStart w:id="56" w:name="BookMark8"/>
      <w:bookmarkEnd w:id="55"/>
      <w:r>
        <w:rPr>
          <w:noProof/>
        </w:rPr>
        <w:drawing>
          <wp:inline distT="0" distB="0" distL="0" distR="0" wp14:anchorId="598CA4C5" wp14:editId="039A0937">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6"/>
    </w:p>
    <w:sectPr w:rsidR="00C75386">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2A7C" w14:textId="77777777" w:rsidR="00844C31" w:rsidRDefault="00844C31">
      <w:pPr>
        <w:spacing w:line="240" w:lineRule="auto"/>
      </w:pPr>
      <w:r>
        <w:separator/>
      </w:r>
    </w:p>
  </w:endnote>
  <w:endnote w:type="continuationSeparator" w:id="0">
    <w:p w14:paraId="38E45A5E" w14:textId="77777777" w:rsidR="00844C31" w:rsidRDefault="00844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0E47" w14:textId="77777777" w:rsidR="00C75386" w:rsidRDefault="00000000">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5F07" w14:textId="77777777" w:rsidR="00C75386" w:rsidRDefault="00C75386">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A7EB" w14:textId="77777777" w:rsidR="00C75386" w:rsidRDefault="00000000">
    <w:pPr>
      <w:pStyle w:val="afffff7"/>
    </w:pPr>
    <w:r>
      <w:fldChar w:fldCharType="begin"/>
    </w:r>
    <w:r>
      <w:instrText>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743D" w14:textId="77777777" w:rsidR="00844C31" w:rsidRDefault="00844C31">
      <w:pPr>
        <w:spacing w:line="240" w:lineRule="auto"/>
      </w:pPr>
      <w:r>
        <w:separator/>
      </w:r>
    </w:p>
  </w:footnote>
  <w:footnote w:type="continuationSeparator" w:id="0">
    <w:p w14:paraId="30D93E5A" w14:textId="77777777" w:rsidR="00844C31" w:rsidRDefault="00844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5BBE" w14:textId="77777777" w:rsidR="00C75386" w:rsidRDefault="00C75386">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2BEC" w14:textId="77777777" w:rsidR="00C75386"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5213" w14:textId="77777777" w:rsidR="00C75386" w:rsidRDefault="00C75386">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706B" w14:textId="77777777" w:rsidR="00C75386" w:rsidRDefault="00000000">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CCC9" w14:textId="7ED6C84C" w:rsidR="00C75386" w:rsidRDefault="00000000">
    <w:pPr>
      <w:pStyle w:val="affffff"/>
    </w:pPr>
    <w:r>
      <w:fldChar w:fldCharType="begin"/>
    </w:r>
    <w:r>
      <w:instrText xml:space="preserve"> STYLEREF  标准文件_文件编号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8740B1"/>
    <w:multiLevelType w:val="singleLevel"/>
    <w:tmpl w:val="BD8740B1"/>
    <w:lvl w:ilvl="0">
      <w:start w:val="1"/>
      <w:numFmt w:val="decimal"/>
      <w:suff w:val="nothing"/>
      <w:lvlText w:val="（%1）"/>
      <w:lvlJc w:val="left"/>
    </w:lvl>
  </w:abstractNum>
  <w:abstractNum w:abstractNumId="1" w15:restartNumberingAfterBreak="0">
    <w:nsid w:val="D7E7F6B6"/>
    <w:multiLevelType w:val="singleLevel"/>
    <w:tmpl w:val="D7E7F6B6"/>
    <w:lvl w:ilvl="0">
      <w:start w:val="1"/>
      <w:numFmt w:val="decimal"/>
      <w:lvlText w:val="(%1)"/>
      <w:lvlJc w:val="left"/>
      <w:pPr>
        <w:ind w:left="425" w:hanging="425"/>
      </w:pPr>
      <w:rPr>
        <w:rFonts w:hint="default"/>
      </w:rPr>
    </w:lvl>
  </w:abstractNum>
  <w:abstractNum w:abstractNumId="2"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3" w15:restartNumberingAfterBreak="0">
    <w:nsid w:val="031601F7"/>
    <w:multiLevelType w:val="multilevel"/>
    <w:tmpl w:val="031601F7"/>
    <w:lvl w:ilvl="0">
      <w:start w:val="1"/>
      <w:numFmt w:val="decimal"/>
      <w:lvlText w:val="（%1）"/>
      <w:lvlJc w:val="left"/>
      <w:pPr>
        <w:ind w:left="720" w:hanging="720"/>
      </w:pPr>
      <w:rPr>
        <w:rFonts w:hint="default"/>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5"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6"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8"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0"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2"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15:restartNumberingAfterBreak="0">
    <w:nsid w:val="2481BD1D"/>
    <w:multiLevelType w:val="singleLevel"/>
    <w:tmpl w:val="2481BD1D"/>
    <w:lvl w:ilvl="0">
      <w:start w:val="1"/>
      <w:numFmt w:val="decimal"/>
      <w:lvlText w:val="(%1)"/>
      <w:lvlJc w:val="left"/>
      <w:pPr>
        <w:ind w:left="425" w:hanging="425"/>
      </w:pPr>
      <w:rPr>
        <w:rFonts w:hint="default"/>
      </w:rPr>
    </w:lvl>
  </w:abstractNum>
  <w:abstractNum w:abstractNumId="14"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9" w15:restartNumberingAfterBreak="0">
    <w:nsid w:val="4C30FAF9"/>
    <w:multiLevelType w:val="singleLevel"/>
    <w:tmpl w:val="4C30FAF9"/>
    <w:lvl w:ilvl="0">
      <w:start w:val="1"/>
      <w:numFmt w:val="decimal"/>
      <w:lvlText w:val="(%1)"/>
      <w:lvlJc w:val="left"/>
      <w:pPr>
        <w:tabs>
          <w:tab w:val="left" w:pos="-420"/>
        </w:tabs>
        <w:ind w:left="5" w:hanging="425"/>
      </w:pPr>
      <w:rPr>
        <w:rFonts w:hint="default"/>
      </w:rPr>
    </w:lvl>
  </w:abstractNum>
  <w:abstractNum w:abstractNumId="20"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2"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3"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633A9ED7"/>
    <w:multiLevelType w:val="singleLevel"/>
    <w:tmpl w:val="633A9ED7"/>
    <w:lvl w:ilvl="0">
      <w:start w:val="1"/>
      <w:numFmt w:val="decimal"/>
      <w:lvlText w:val="(%1)"/>
      <w:lvlJc w:val="left"/>
      <w:pPr>
        <w:tabs>
          <w:tab w:val="left" w:pos="-420"/>
        </w:tabs>
        <w:ind w:left="5" w:hanging="425"/>
      </w:pPr>
      <w:rPr>
        <w:rFonts w:hint="default"/>
      </w:rPr>
    </w:lvl>
  </w:abstractNum>
  <w:abstractNum w:abstractNumId="26"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7"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8"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5"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6" w15:restartNumberingAfterBreak="0">
    <w:nsid w:val="6FCA4980"/>
    <w:multiLevelType w:val="singleLevel"/>
    <w:tmpl w:val="6FCA4980"/>
    <w:lvl w:ilvl="0">
      <w:start w:val="1"/>
      <w:numFmt w:val="decimal"/>
      <w:lvlText w:val="(%1)"/>
      <w:lvlJc w:val="left"/>
      <w:pPr>
        <w:tabs>
          <w:tab w:val="left" w:pos="-420"/>
        </w:tabs>
        <w:ind w:left="5" w:hanging="425"/>
      </w:pPr>
      <w:rPr>
        <w:rFonts w:hint="default"/>
      </w:rPr>
    </w:lvl>
  </w:abstractNum>
  <w:abstractNum w:abstractNumId="37"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B9ECD80"/>
    <w:multiLevelType w:val="singleLevel"/>
    <w:tmpl w:val="7B9ECD80"/>
    <w:lvl w:ilvl="0">
      <w:start w:val="1"/>
      <w:numFmt w:val="decimal"/>
      <w:lvlText w:val="(%1)"/>
      <w:lvlJc w:val="left"/>
      <w:pPr>
        <w:ind w:left="425" w:hanging="425"/>
      </w:pPr>
      <w:rPr>
        <w:rFonts w:hint="default"/>
      </w:rPr>
    </w:lvl>
  </w:abstractNum>
  <w:num w:numId="1" w16cid:durableId="978417506">
    <w:abstractNumId w:val="2"/>
  </w:num>
  <w:num w:numId="2" w16cid:durableId="1988246901">
    <w:abstractNumId w:val="33"/>
  </w:num>
  <w:num w:numId="3" w16cid:durableId="119569847">
    <w:abstractNumId w:val="8"/>
  </w:num>
  <w:num w:numId="4" w16cid:durableId="869223300">
    <w:abstractNumId w:val="29"/>
  </w:num>
  <w:num w:numId="5" w16cid:durableId="108621962">
    <w:abstractNumId w:val="23"/>
  </w:num>
  <w:num w:numId="6" w16cid:durableId="1208957802">
    <w:abstractNumId w:val="17"/>
  </w:num>
  <w:num w:numId="7" w16cid:durableId="1372419921">
    <w:abstractNumId w:val="11"/>
  </w:num>
  <w:num w:numId="8" w16cid:durableId="943809525">
    <w:abstractNumId w:val="6"/>
  </w:num>
  <w:num w:numId="9" w16cid:durableId="16664095">
    <w:abstractNumId w:val="12"/>
  </w:num>
  <w:num w:numId="10" w16cid:durableId="2073655945">
    <w:abstractNumId w:val="21"/>
  </w:num>
  <w:num w:numId="11" w16cid:durableId="47998093">
    <w:abstractNumId w:val="31"/>
  </w:num>
  <w:num w:numId="12" w16cid:durableId="1559321866">
    <w:abstractNumId w:val="15"/>
  </w:num>
  <w:num w:numId="13" w16cid:durableId="566722431">
    <w:abstractNumId w:val="16"/>
  </w:num>
  <w:num w:numId="14" w16cid:durableId="162666432">
    <w:abstractNumId w:val="10"/>
  </w:num>
  <w:num w:numId="15" w16cid:durableId="985352213">
    <w:abstractNumId w:val="24"/>
  </w:num>
  <w:num w:numId="16" w16cid:durableId="1958831626">
    <w:abstractNumId w:val="27"/>
  </w:num>
  <w:num w:numId="17" w16cid:durableId="643848319">
    <w:abstractNumId w:val="22"/>
  </w:num>
  <w:num w:numId="18" w16cid:durableId="1104112064">
    <w:abstractNumId w:val="35"/>
  </w:num>
  <w:num w:numId="19" w16cid:durableId="1028215344">
    <w:abstractNumId w:val="20"/>
  </w:num>
  <w:num w:numId="20" w16cid:durableId="1206798627">
    <w:abstractNumId w:val="4"/>
  </w:num>
  <w:num w:numId="21" w16cid:durableId="1365059499">
    <w:abstractNumId w:val="14"/>
  </w:num>
  <w:num w:numId="22" w16cid:durableId="1818953774">
    <w:abstractNumId w:val="37"/>
  </w:num>
  <w:num w:numId="23" w16cid:durableId="2100060085">
    <w:abstractNumId w:val="26"/>
  </w:num>
  <w:num w:numId="24" w16cid:durableId="518618705">
    <w:abstractNumId w:val="9"/>
  </w:num>
  <w:num w:numId="25" w16cid:durableId="136918513">
    <w:abstractNumId w:val="32"/>
  </w:num>
  <w:num w:numId="26" w16cid:durableId="1092581038">
    <w:abstractNumId w:val="34"/>
  </w:num>
  <w:num w:numId="27" w16cid:durableId="1739785685">
    <w:abstractNumId w:val="5"/>
  </w:num>
  <w:num w:numId="28" w16cid:durableId="188154076">
    <w:abstractNumId w:val="7"/>
  </w:num>
  <w:num w:numId="29" w16cid:durableId="1550457001">
    <w:abstractNumId w:val="18"/>
  </w:num>
  <w:num w:numId="30" w16cid:durableId="1501845149">
    <w:abstractNumId w:val="30"/>
  </w:num>
  <w:num w:numId="31" w16cid:durableId="1899589440">
    <w:abstractNumId w:val="28"/>
  </w:num>
  <w:num w:numId="32" w16cid:durableId="1698391408">
    <w:abstractNumId w:val="3"/>
  </w:num>
  <w:num w:numId="33" w16cid:durableId="1796212988">
    <w:abstractNumId w:val="1"/>
  </w:num>
  <w:num w:numId="34" w16cid:durableId="1477795312">
    <w:abstractNumId w:val="36"/>
  </w:num>
  <w:num w:numId="35" w16cid:durableId="1845433346">
    <w:abstractNumId w:val="19"/>
  </w:num>
  <w:num w:numId="36" w16cid:durableId="2018606102">
    <w:abstractNumId w:val="25"/>
  </w:num>
  <w:num w:numId="37" w16cid:durableId="2057003997">
    <w:abstractNumId w:val="13"/>
  </w:num>
  <w:num w:numId="38" w16cid:durableId="427971985">
    <w:abstractNumId w:val="0"/>
  </w:num>
  <w:num w:numId="39" w16cid:durableId="2794571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hideSpellingErrors/>
  <w:hideGrammaticalErrors/>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M4NjNjYzVlMWI4Yzk2ZjRkYmFiMmMyY2FiODkzYTUifQ=="/>
  </w:docVars>
  <w:rsids>
    <w:rsidRoot w:val="00CD6C9C"/>
    <w:rsid w:val="0000040A"/>
    <w:rsid w:val="00000A94"/>
    <w:rsid w:val="00000C99"/>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36C"/>
    <w:rsid w:val="00047F28"/>
    <w:rsid w:val="000503AA"/>
    <w:rsid w:val="000506A1"/>
    <w:rsid w:val="000515DD"/>
    <w:rsid w:val="0005265A"/>
    <w:rsid w:val="000539DD"/>
    <w:rsid w:val="00053BD3"/>
    <w:rsid w:val="000556ED"/>
    <w:rsid w:val="00055FE2"/>
    <w:rsid w:val="0005616F"/>
    <w:rsid w:val="00060A89"/>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098"/>
    <w:rsid w:val="00087A77"/>
    <w:rsid w:val="00090CA6"/>
    <w:rsid w:val="00092B8A"/>
    <w:rsid w:val="00092FB0"/>
    <w:rsid w:val="000934C5"/>
    <w:rsid w:val="00093D25"/>
    <w:rsid w:val="00093DAB"/>
    <w:rsid w:val="00094D73"/>
    <w:rsid w:val="00094F89"/>
    <w:rsid w:val="00096D63"/>
    <w:rsid w:val="000A0B60"/>
    <w:rsid w:val="000A0EB8"/>
    <w:rsid w:val="000A19FC"/>
    <w:rsid w:val="000A296B"/>
    <w:rsid w:val="000A7311"/>
    <w:rsid w:val="000B060F"/>
    <w:rsid w:val="000B1592"/>
    <w:rsid w:val="000B1FF2"/>
    <w:rsid w:val="000B3CDA"/>
    <w:rsid w:val="000B4A5E"/>
    <w:rsid w:val="000B5632"/>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DE9"/>
    <w:rsid w:val="000D753B"/>
    <w:rsid w:val="000E4C9E"/>
    <w:rsid w:val="000E6FD7"/>
    <w:rsid w:val="000F06E1"/>
    <w:rsid w:val="000F0E3C"/>
    <w:rsid w:val="000F0F0D"/>
    <w:rsid w:val="000F19D5"/>
    <w:rsid w:val="000F4050"/>
    <w:rsid w:val="000F4AEA"/>
    <w:rsid w:val="000F67E9"/>
    <w:rsid w:val="00104926"/>
    <w:rsid w:val="0010642B"/>
    <w:rsid w:val="00113B1E"/>
    <w:rsid w:val="0011711C"/>
    <w:rsid w:val="00124E4F"/>
    <w:rsid w:val="00125612"/>
    <w:rsid w:val="001260B7"/>
    <w:rsid w:val="001265CB"/>
    <w:rsid w:val="001301D1"/>
    <w:rsid w:val="00131BAC"/>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575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22A"/>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2D3"/>
    <w:rsid w:val="0020527B"/>
    <w:rsid w:val="00205F2C"/>
    <w:rsid w:val="0020632E"/>
    <w:rsid w:val="00210B15"/>
    <w:rsid w:val="002142EA"/>
    <w:rsid w:val="00215ADD"/>
    <w:rsid w:val="002204BB"/>
    <w:rsid w:val="00221B79"/>
    <w:rsid w:val="00221C6B"/>
    <w:rsid w:val="0022424C"/>
    <w:rsid w:val="002253A1"/>
    <w:rsid w:val="00225CF8"/>
    <w:rsid w:val="0022794E"/>
    <w:rsid w:val="00230E18"/>
    <w:rsid w:val="00233D64"/>
    <w:rsid w:val="0023482A"/>
    <w:rsid w:val="002359CB"/>
    <w:rsid w:val="00243540"/>
    <w:rsid w:val="0024497B"/>
    <w:rsid w:val="0024515B"/>
    <w:rsid w:val="00246021"/>
    <w:rsid w:val="0024666E"/>
    <w:rsid w:val="00247F52"/>
    <w:rsid w:val="00250B25"/>
    <w:rsid w:val="00250BBE"/>
    <w:rsid w:val="002515C2"/>
    <w:rsid w:val="0025194F"/>
    <w:rsid w:val="00253541"/>
    <w:rsid w:val="00255908"/>
    <w:rsid w:val="00256CD9"/>
    <w:rsid w:val="0026148A"/>
    <w:rsid w:val="00262696"/>
    <w:rsid w:val="00263D25"/>
    <w:rsid w:val="002643C3"/>
    <w:rsid w:val="00264A0C"/>
    <w:rsid w:val="002657DE"/>
    <w:rsid w:val="00266EEB"/>
    <w:rsid w:val="00267EF4"/>
    <w:rsid w:val="00270CB8"/>
    <w:rsid w:val="00272B08"/>
    <w:rsid w:val="002801FF"/>
    <w:rsid w:val="00281BB8"/>
    <w:rsid w:val="00281E9E"/>
    <w:rsid w:val="00282405"/>
    <w:rsid w:val="00285170"/>
    <w:rsid w:val="00285361"/>
    <w:rsid w:val="00292D60"/>
    <w:rsid w:val="00293B30"/>
    <w:rsid w:val="00294D34"/>
    <w:rsid w:val="00294E3B"/>
    <w:rsid w:val="00294FFF"/>
    <w:rsid w:val="00295A43"/>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3406"/>
    <w:rsid w:val="002E4D5A"/>
    <w:rsid w:val="002E6326"/>
    <w:rsid w:val="002F30E0"/>
    <w:rsid w:val="002F35E4"/>
    <w:rsid w:val="002F3730"/>
    <w:rsid w:val="002F38E1"/>
    <w:rsid w:val="002F7AF6"/>
    <w:rsid w:val="00300E63"/>
    <w:rsid w:val="00302F5F"/>
    <w:rsid w:val="0030441D"/>
    <w:rsid w:val="00306063"/>
    <w:rsid w:val="00311A0C"/>
    <w:rsid w:val="00312D7F"/>
    <w:rsid w:val="00313B85"/>
    <w:rsid w:val="00317988"/>
    <w:rsid w:val="003221B4"/>
    <w:rsid w:val="0032258D"/>
    <w:rsid w:val="00322E62"/>
    <w:rsid w:val="00324D13"/>
    <w:rsid w:val="00324EDD"/>
    <w:rsid w:val="00331CF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6738D"/>
    <w:rsid w:val="003705F4"/>
    <w:rsid w:val="00370D58"/>
    <w:rsid w:val="00371316"/>
    <w:rsid w:val="00376713"/>
    <w:rsid w:val="00381815"/>
    <w:rsid w:val="003819AF"/>
    <w:rsid w:val="003820E9"/>
    <w:rsid w:val="00382DE7"/>
    <w:rsid w:val="00384FFC"/>
    <w:rsid w:val="00385FE0"/>
    <w:rsid w:val="003872FC"/>
    <w:rsid w:val="00387AA3"/>
    <w:rsid w:val="00387ADC"/>
    <w:rsid w:val="00390020"/>
    <w:rsid w:val="003903D6"/>
    <w:rsid w:val="00390EE6"/>
    <w:rsid w:val="0039118F"/>
    <w:rsid w:val="00392AD7"/>
    <w:rsid w:val="003938D9"/>
    <w:rsid w:val="00394376"/>
    <w:rsid w:val="003943FF"/>
    <w:rsid w:val="00396D92"/>
    <w:rsid w:val="003974EB"/>
    <w:rsid w:val="00397CC5"/>
    <w:rsid w:val="003A1582"/>
    <w:rsid w:val="003A3D9C"/>
    <w:rsid w:val="003A4077"/>
    <w:rsid w:val="003A4AA7"/>
    <w:rsid w:val="003A5044"/>
    <w:rsid w:val="003B09AD"/>
    <w:rsid w:val="003B1F18"/>
    <w:rsid w:val="003B5BF0"/>
    <w:rsid w:val="003B60BF"/>
    <w:rsid w:val="003B6BE3"/>
    <w:rsid w:val="003C010C"/>
    <w:rsid w:val="003C0A6C"/>
    <w:rsid w:val="003C14F8"/>
    <w:rsid w:val="003C5A43"/>
    <w:rsid w:val="003D0519"/>
    <w:rsid w:val="003D0FF6"/>
    <w:rsid w:val="003D10EA"/>
    <w:rsid w:val="003D262C"/>
    <w:rsid w:val="003D6897"/>
    <w:rsid w:val="003D6D61"/>
    <w:rsid w:val="003E091D"/>
    <w:rsid w:val="003E0ED3"/>
    <w:rsid w:val="003E1C53"/>
    <w:rsid w:val="003E1D1D"/>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15D"/>
    <w:rsid w:val="004746B1"/>
    <w:rsid w:val="0047583F"/>
    <w:rsid w:val="00475DE8"/>
    <w:rsid w:val="00480932"/>
    <w:rsid w:val="00481C44"/>
    <w:rsid w:val="00484936"/>
    <w:rsid w:val="00485C89"/>
    <w:rsid w:val="00486BE3"/>
    <w:rsid w:val="0048710D"/>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3E81"/>
    <w:rsid w:val="004F6456"/>
    <w:rsid w:val="004F696E"/>
    <w:rsid w:val="004F6C71"/>
    <w:rsid w:val="00501139"/>
    <w:rsid w:val="0050363E"/>
    <w:rsid w:val="005039BC"/>
    <w:rsid w:val="005043BB"/>
    <w:rsid w:val="00504A3D"/>
    <w:rsid w:val="00505767"/>
    <w:rsid w:val="00505B1D"/>
    <w:rsid w:val="005073F0"/>
    <w:rsid w:val="00510A7B"/>
    <w:rsid w:val="00512198"/>
    <w:rsid w:val="00512F6E"/>
    <w:rsid w:val="00513038"/>
    <w:rsid w:val="00514174"/>
    <w:rsid w:val="00515CF6"/>
    <w:rsid w:val="00516088"/>
    <w:rsid w:val="00516B0B"/>
    <w:rsid w:val="005220EC"/>
    <w:rsid w:val="00523F95"/>
    <w:rsid w:val="00524D65"/>
    <w:rsid w:val="005259FB"/>
    <w:rsid w:val="00525B16"/>
    <w:rsid w:val="005273F5"/>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CAE"/>
    <w:rsid w:val="00573D9E"/>
    <w:rsid w:val="005801E3"/>
    <w:rsid w:val="00581802"/>
    <w:rsid w:val="00581C49"/>
    <w:rsid w:val="005836A8"/>
    <w:rsid w:val="0058409C"/>
    <w:rsid w:val="00584262"/>
    <w:rsid w:val="00586630"/>
    <w:rsid w:val="00586669"/>
    <w:rsid w:val="00587ADD"/>
    <w:rsid w:val="00593A49"/>
    <w:rsid w:val="005948F7"/>
    <w:rsid w:val="00596160"/>
    <w:rsid w:val="005966E2"/>
    <w:rsid w:val="00597007"/>
    <w:rsid w:val="005A0966"/>
    <w:rsid w:val="005A0EBE"/>
    <w:rsid w:val="005A11B7"/>
    <w:rsid w:val="005A260B"/>
    <w:rsid w:val="005A2B24"/>
    <w:rsid w:val="005A4A1B"/>
    <w:rsid w:val="005A7830"/>
    <w:rsid w:val="005A7FCE"/>
    <w:rsid w:val="005B0F3F"/>
    <w:rsid w:val="005B191C"/>
    <w:rsid w:val="005B4903"/>
    <w:rsid w:val="005B4E04"/>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6A14"/>
    <w:rsid w:val="005E7881"/>
    <w:rsid w:val="005E78E0"/>
    <w:rsid w:val="005F0D9C"/>
    <w:rsid w:val="005F284E"/>
    <w:rsid w:val="006015CE"/>
    <w:rsid w:val="00604784"/>
    <w:rsid w:val="006060D8"/>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3A1"/>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04C8"/>
    <w:rsid w:val="00691E8A"/>
    <w:rsid w:val="00694151"/>
    <w:rsid w:val="006A07AA"/>
    <w:rsid w:val="006A25E5"/>
    <w:rsid w:val="006A2B46"/>
    <w:rsid w:val="006A336D"/>
    <w:rsid w:val="006A37B9"/>
    <w:rsid w:val="006A67F5"/>
    <w:rsid w:val="006B2672"/>
    <w:rsid w:val="006B54BF"/>
    <w:rsid w:val="006B57C6"/>
    <w:rsid w:val="006B5F44"/>
    <w:rsid w:val="006B5F90"/>
    <w:rsid w:val="006B62E4"/>
    <w:rsid w:val="006C1BBA"/>
    <w:rsid w:val="006C2079"/>
    <w:rsid w:val="006C5A62"/>
    <w:rsid w:val="006C5D68"/>
    <w:rsid w:val="006C6976"/>
    <w:rsid w:val="006C6DD0"/>
    <w:rsid w:val="006D04EA"/>
    <w:rsid w:val="006D0698"/>
    <w:rsid w:val="006D16C4"/>
    <w:rsid w:val="006D3E96"/>
    <w:rsid w:val="006D4515"/>
    <w:rsid w:val="006D4BB1"/>
    <w:rsid w:val="006D6593"/>
    <w:rsid w:val="006E1492"/>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1960"/>
    <w:rsid w:val="00742C35"/>
    <w:rsid w:val="0074301C"/>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E63"/>
    <w:rsid w:val="00773C1F"/>
    <w:rsid w:val="00774DA4"/>
    <w:rsid w:val="00776599"/>
    <w:rsid w:val="0078114B"/>
    <w:rsid w:val="00781DD2"/>
    <w:rsid w:val="00783ECF"/>
    <w:rsid w:val="0078413A"/>
    <w:rsid w:val="00793032"/>
    <w:rsid w:val="007959E8"/>
    <w:rsid w:val="00795E9C"/>
    <w:rsid w:val="007A0521"/>
    <w:rsid w:val="007A059D"/>
    <w:rsid w:val="007A2E12"/>
    <w:rsid w:val="007A3475"/>
    <w:rsid w:val="007A41C8"/>
    <w:rsid w:val="007A54CE"/>
    <w:rsid w:val="007A6FD9"/>
    <w:rsid w:val="007A7FFA"/>
    <w:rsid w:val="007B04EB"/>
    <w:rsid w:val="007B0D4F"/>
    <w:rsid w:val="007B191F"/>
    <w:rsid w:val="007B5A3D"/>
    <w:rsid w:val="007B5B95"/>
    <w:rsid w:val="007B6032"/>
    <w:rsid w:val="007B68EA"/>
    <w:rsid w:val="007B7453"/>
    <w:rsid w:val="007C2D89"/>
    <w:rsid w:val="007C4593"/>
    <w:rsid w:val="007C5309"/>
    <w:rsid w:val="007C6069"/>
    <w:rsid w:val="007D06C4"/>
    <w:rsid w:val="007D1352"/>
    <w:rsid w:val="007D2508"/>
    <w:rsid w:val="007D346A"/>
    <w:rsid w:val="007D3EE4"/>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4C31"/>
    <w:rsid w:val="008454F8"/>
    <w:rsid w:val="0085173A"/>
    <w:rsid w:val="0085593D"/>
    <w:rsid w:val="008603CE"/>
    <w:rsid w:val="008620FC"/>
    <w:rsid w:val="008627A5"/>
    <w:rsid w:val="00863E05"/>
    <w:rsid w:val="00865ACA"/>
    <w:rsid w:val="00865D28"/>
    <w:rsid w:val="00865E33"/>
    <w:rsid w:val="00865F85"/>
    <w:rsid w:val="00867C10"/>
    <w:rsid w:val="00870319"/>
    <w:rsid w:val="00870439"/>
    <w:rsid w:val="00870DA1"/>
    <w:rsid w:val="00871E2C"/>
    <w:rsid w:val="00872ECB"/>
    <w:rsid w:val="00883223"/>
    <w:rsid w:val="00883F93"/>
    <w:rsid w:val="00884DB3"/>
    <w:rsid w:val="00885A9D"/>
    <w:rsid w:val="008864F6"/>
    <w:rsid w:val="0089049D"/>
    <w:rsid w:val="008928C9"/>
    <w:rsid w:val="008930CB"/>
    <w:rsid w:val="008938DC"/>
    <w:rsid w:val="00893FD1"/>
    <w:rsid w:val="0089442C"/>
    <w:rsid w:val="00894836"/>
    <w:rsid w:val="00895172"/>
    <w:rsid w:val="00895680"/>
    <w:rsid w:val="00896DFF"/>
    <w:rsid w:val="0089762C"/>
    <w:rsid w:val="008A173B"/>
    <w:rsid w:val="008A1893"/>
    <w:rsid w:val="008A57E6"/>
    <w:rsid w:val="008A6F81"/>
    <w:rsid w:val="008A769A"/>
    <w:rsid w:val="008B0C9C"/>
    <w:rsid w:val="008B15A7"/>
    <w:rsid w:val="008B166D"/>
    <w:rsid w:val="008B17F4"/>
    <w:rsid w:val="008B3615"/>
    <w:rsid w:val="008B38A6"/>
    <w:rsid w:val="008B4AC4"/>
    <w:rsid w:val="008B50C8"/>
    <w:rsid w:val="008B5281"/>
    <w:rsid w:val="008B7E05"/>
    <w:rsid w:val="008C1797"/>
    <w:rsid w:val="008C20AC"/>
    <w:rsid w:val="008C219C"/>
    <w:rsid w:val="008C42C9"/>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067"/>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50"/>
    <w:rsid w:val="00914CA7"/>
    <w:rsid w:val="00915C3E"/>
    <w:rsid w:val="009161A8"/>
    <w:rsid w:val="009238FD"/>
    <w:rsid w:val="009245AE"/>
    <w:rsid w:val="009245F5"/>
    <w:rsid w:val="009249EC"/>
    <w:rsid w:val="009273B3"/>
    <w:rsid w:val="009305B5"/>
    <w:rsid w:val="00933508"/>
    <w:rsid w:val="0093406B"/>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33D3"/>
    <w:rsid w:val="00975727"/>
    <w:rsid w:val="00977010"/>
    <w:rsid w:val="00977827"/>
    <w:rsid w:val="00977D02"/>
    <w:rsid w:val="00977FF9"/>
    <w:rsid w:val="009809BB"/>
    <w:rsid w:val="0098364B"/>
    <w:rsid w:val="009908A3"/>
    <w:rsid w:val="009911AF"/>
    <w:rsid w:val="00991875"/>
    <w:rsid w:val="00991F92"/>
    <w:rsid w:val="00992985"/>
    <w:rsid w:val="0099302F"/>
    <w:rsid w:val="00993889"/>
    <w:rsid w:val="0099486C"/>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832"/>
    <w:rsid w:val="009B6029"/>
    <w:rsid w:val="009B6971"/>
    <w:rsid w:val="009C27F1"/>
    <w:rsid w:val="009C3152"/>
    <w:rsid w:val="009C3257"/>
    <w:rsid w:val="009C4CFA"/>
    <w:rsid w:val="009C5070"/>
    <w:rsid w:val="009D112C"/>
    <w:rsid w:val="009D1385"/>
    <w:rsid w:val="009D1587"/>
    <w:rsid w:val="009D31C2"/>
    <w:rsid w:val="009D47FA"/>
    <w:rsid w:val="009D4C5B"/>
    <w:rsid w:val="009D50D2"/>
    <w:rsid w:val="009D6BCA"/>
    <w:rsid w:val="009D6CC6"/>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A57"/>
    <w:rsid w:val="00A237D5"/>
    <w:rsid w:val="00A24F45"/>
    <w:rsid w:val="00A30317"/>
    <w:rsid w:val="00A30EFC"/>
    <w:rsid w:val="00A31984"/>
    <w:rsid w:val="00A32D73"/>
    <w:rsid w:val="00A3367B"/>
    <w:rsid w:val="00A3597D"/>
    <w:rsid w:val="00A35DE3"/>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F9C"/>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973"/>
    <w:rsid w:val="00B378E5"/>
    <w:rsid w:val="00B4346D"/>
    <w:rsid w:val="00B440F4"/>
    <w:rsid w:val="00B447A5"/>
    <w:rsid w:val="00B4654C"/>
    <w:rsid w:val="00B47293"/>
    <w:rsid w:val="00B50E50"/>
    <w:rsid w:val="00B52120"/>
    <w:rsid w:val="00B54ABC"/>
    <w:rsid w:val="00B56FBE"/>
    <w:rsid w:val="00B57CBD"/>
    <w:rsid w:val="00B60ACF"/>
    <w:rsid w:val="00B62B58"/>
    <w:rsid w:val="00B65149"/>
    <w:rsid w:val="00B66567"/>
    <w:rsid w:val="00B66F52"/>
    <w:rsid w:val="00B66FE5"/>
    <w:rsid w:val="00B72880"/>
    <w:rsid w:val="00B758BF"/>
    <w:rsid w:val="00B77EC8"/>
    <w:rsid w:val="00B8224D"/>
    <w:rsid w:val="00B827A6"/>
    <w:rsid w:val="00B82C5B"/>
    <w:rsid w:val="00B831CE"/>
    <w:rsid w:val="00B839B9"/>
    <w:rsid w:val="00B86677"/>
    <w:rsid w:val="00B87131"/>
    <w:rsid w:val="00B939B1"/>
    <w:rsid w:val="00B96D40"/>
    <w:rsid w:val="00B97386"/>
    <w:rsid w:val="00BA1FFC"/>
    <w:rsid w:val="00BA263B"/>
    <w:rsid w:val="00BA42B2"/>
    <w:rsid w:val="00BA58D4"/>
    <w:rsid w:val="00BA5B9E"/>
    <w:rsid w:val="00BA6161"/>
    <w:rsid w:val="00BA7C9A"/>
    <w:rsid w:val="00BB5F8F"/>
    <w:rsid w:val="00BB657A"/>
    <w:rsid w:val="00BC0B00"/>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820"/>
    <w:rsid w:val="00C04904"/>
    <w:rsid w:val="00C056B3"/>
    <w:rsid w:val="00C06925"/>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685C"/>
    <w:rsid w:val="00C521D6"/>
    <w:rsid w:val="00C55232"/>
    <w:rsid w:val="00C553A4"/>
    <w:rsid w:val="00C55A06"/>
    <w:rsid w:val="00C55D03"/>
    <w:rsid w:val="00C601BC"/>
    <w:rsid w:val="00C6329F"/>
    <w:rsid w:val="00C63340"/>
    <w:rsid w:val="00C643F9"/>
    <w:rsid w:val="00C64E95"/>
    <w:rsid w:val="00C67C31"/>
    <w:rsid w:val="00C71372"/>
    <w:rsid w:val="00C72410"/>
    <w:rsid w:val="00C7287F"/>
    <w:rsid w:val="00C75386"/>
    <w:rsid w:val="00C80CB8"/>
    <w:rsid w:val="00C819F8"/>
    <w:rsid w:val="00C8248C"/>
    <w:rsid w:val="00C84E33"/>
    <w:rsid w:val="00C86D6F"/>
    <w:rsid w:val="00C905FC"/>
    <w:rsid w:val="00C92D03"/>
    <w:rsid w:val="00C9319C"/>
    <w:rsid w:val="00C9435D"/>
    <w:rsid w:val="00C94DF2"/>
    <w:rsid w:val="00C96741"/>
    <w:rsid w:val="00CA243F"/>
    <w:rsid w:val="00CA2D1B"/>
    <w:rsid w:val="00CA375D"/>
    <w:rsid w:val="00CA662A"/>
    <w:rsid w:val="00CA7AFD"/>
    <w:rsid w:val="00CA7C3C"/>
    <w:rsid w:val="00CB0189"/>
    <w:rsid w:val="00CB0BA2"/>
    <w:rsid w:val="00CB1A42"/>
    <w:rsid w:val="00CB1B0C"/>
    <w:rsid w:val="00CB25D8"/>
    <w:rsid w:val="00CB2C0B"/>
    <w:rsid w:val="00CB517D"/>
    <w:rsid w:val="00CC038D"/>
    <w:rsid w:val="00CC08DB"/>
    <w:rsid w:val="00CC39FF"/>
    <w:rsid w:val="00CC3C2F"/>
    <w:rsid w:val="00CC4AC8"/>
    <w:rsid w:val="00CC5233"/>
    <w:rsid w:val="00CC5DE6"/>
    <w:rsid w:val="00CC6E4E"/>
    <w:rsid w:val="00CC6FE8"/>
    <w:rsid w:val="00CC7202"/>
    <w:rsid w:val="00CD0097"/>
    <w:rsid w:val="00CD2808"/>
    <w:rsid w:val="00CD28BF"/>
    <w:rsid w:val="00CD4092"/>
    <w:rsid w:val="00CD4A20"/>
    <w:rsid w:val="00CD50A1"/>
    <w:rsid w:val="00CD519E"/>
    <w:rsid w:val="00CD6C9C"/>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A20"/>
    <w:rsid w:val="00D20737"/>
    <w:rsid w:val="00D21E81"/>
    <w:rsid w:val="00D223DE"/>
    <w:rsid w:val="00D25E37"/>
    <w:rsid w:val="00D2661A"/>
    <w:rsid w:val="00D27582"/>
    <w:rsid w:val="00D27EC4"/>
    <w:rsid w:val="00D31A20"/>
    <w:rsid w:val="00D32719"/>
    <w:rsid w:val="00D33333"/>
    <w:rsid w:val="00D352A2"/>
    <w:rsid w:val="00D40AD9"/>
    <w:rsid w:val="00D4162B"/>
    <w:rsid w:val="00D4514F"/>
    <w:rsid w:val="00D451E2"/>
    <w:rsid w:val="00D45E89"/>
    <w:rsid w:val="00D45E8D"/>
    <w:rsid w:val="00D4603E"/>
    <w:rsid w:val="00D466AE"/>
    <w:rsid w:val="00D4734F"/>
    <w:rsid w:val="00D51BF3"/>
    <w:rsid w:val="00D6032A"/>
    <w:rsid w:val="00D66272"/>
    <w:rsid w:val="00D66846"/>
    <w:rsid w:val="00D675FB"/>
    <w:rsid w:val="00D71F25"/>
    <w:rsid w:val="00D72A9C"/>
    <w:rsid w:val="00D747AF"/>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91B"/>
    <w:rsid w:val="00DA6C15"/>
    <w:rsid w:val="00DB0258"/>
    <w:rsid w:val="00DB38EE"/>
    <w:rsid w:val="00DB498B"/>
    <w:rsid w:val="00DB66CA"/>
    <w:rsid w:val="00DB69F6"/>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6D78"/>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85D38"/>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4A9C"/>
    <w:rsid w:val="00EB5EDF"/>
    <w:rsid w:val="00EB60FE"/>
    <w:rsid w:val="00EB74DB"/>
    <w:rsid w:val="00EC5359"/>
    <w:rsid w:val="00EC562A"/>
    <w:rsid w:val="00EC6760"/>
    <w:rsid w:val="00ED067A"/>
    <w:rsid w:val="00ED2B50"/>
    <w:rsid w:val="00EE0350"/>
    <w:rsid w:val="00EE0719"/>
    <w:rsid w:val="00EE0E80"/>
    <w:rsid w:val="00EE0F54"/>
    <w:rsid w:val="00EE613F"/>
    <w:rsid w:val="00EE7295"/>
    <w:rsid w:val="00EE7869"/>
    <w:rsid w:val="00EF054A"/>
    <w:rsid w:val="00EF3235"/>
    <w:rsid w:val="00EF7E72"/>
    <w:rsid w:val="00F05022"/>
    <w:rsid w:val="00F06D37"/>
    <w:rsid w:val="00F07B9D"/>
    <w:rsid w:val="00F11586"/>
    <w:rsid w:val="00F1183B"/>
    <w:rsid w:val="00F118D4"/>
    <w:rsid w:val="00F11C9F"/>
    <w:rsid w:val="00F12263"/>
    <w:rsid w:val="00F12507"/>
    <w:rsid w:val="00F1409D"/>
    <w:rsid w:val="00F14214"/>
    <w:rsid w:val="00F14D10"/>
    <w:rsid w:val="00F157A9"/>
    <w:rsid w:val="00F16F00"/>
    <w:rsid w:val="00F25BB6"/>
    <w:rsid w:val="00F26B7E"/>
    <w:rsid w:val="00F27A3B"/>
    <w:rsid w:val="00F32775"/>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739"/>
    <w:rsid w:val="00F71E22"/>
    <w:rsid w:val="00F72142"/>
    <w:rsid w:val="00F72AE7"/>
    <w:rsid w:val="00F833BA"/>
    <w:rsid w:val="00F84FD0"/>
    <w:rsid w:val="00F859A8"/>
    <w:rsid w:val="00F86D87"/>
    <w:rsid w:val="00F9108B"/>
    <w:rsid w:val="00F91349"/>
    <w:rsid w:val="00F938E0"/>
    <w:rsid w:val="00F93A8A"/>
    <w:rsid w:val="00F95248"/>
    <w:rsid w:val="00F956A9"/>
    <w:rsid w:val="00F963ED"/>
    <w:rsid w:val="00F966CF"/>
    <w:rsid w:val="00F96CAE"/>
    <w:rsid w:val="00F96EDC"/>
    <w:rsid w:val="00F979DB"/>
    <w:rsid w:val="00F97C99"/>
    <w:rsid w:val="00FA1B80"/>
    <w:rsid w:val="00FA662D"/>
    <w:rsid w:val="00FA73B1"/>
    <w:rsid w:val="00FB0CB9"/>
    <w:rsid w:val="00FB1DC4"/>
    <w:rsid w:val="00FB231D"/>
    <w:rsid w:val="00FB45F1"/>
    <w:rsid w:val="00FB4A72"/>
    <w:rsid w:val="00FB54E8"/>
    <w:rsid w:val="00FB655B"/>
    <w:rsid w:val="00FB7054"/>
    <w:rsid w:val="00FC17B7"/>
    <w:rsid w:val="00FC2CB7"/>
    <w:rsid w:val="00FC4090"/>
    <w:rsid w:val="00FC55B4"/>
    <w:rsid w:val="00FD00E6"/>
    <w:rsid w:val="00FD09A1"/>
    <w:rsid w:val="00FD2A7C"/>
    <w:rsid w:val="00FD59EB"/>
    <w:rsid w:val="00FD7299"/>
    <w:rsid w:val="00FE04C8"/>
    <w:rsid w:val="00FE1FBE"/>
    <w:rsid w:val="00FE3901"/>
    <w:rsid w:val="00FE39D3"/>
    <w:rsid w:val="00FE4BCE"/>
    <w:rsid w:val="00FE54AE"/>
    <w:rsid w:val="00FE576A"/>
    <w:rsid w:val="00FE7E79"/>
    <w:rsid w:val="00FF3E7D"/>
    <w:rsid w:val="00FF5B99"/>
    <w:rsid w:val="00FF730C"/>
    <w:rsid w:val="00FF73F4"/>
    <w:rsid w:val="00FF7CE4"/>
    <w:rsid w:val="00FF7E39"/>
    <w:rsid w:val="010F5A16"/>
    <w:rsid w:val="0418232F"/>
    <w:rsid w:val="041E3BCC"/>
    <w:rsid w:val="04B71C87"/>
    <w:rsid w:val="05756DE3"/>
    <w:rsid w:val="05B77C72"/>
    <w:rsid w:val="05B8390D"/>
    <w:rsid w:val="05EC0902"/>
    <w:rsid w:val="062E0F1B"/>
    <w:rsid w:val="079528D4"/>
    <w:rsid w:val="07D93108"/>
    <w:rsid w:val="09BC33E9"/>
    <w:rsid w:val="0AF92CF4"/>
    <w:rsid w:val="0BED1BF0"/>
    <w:rsid w:val="0C421CC7"/>
    <w:rsid w:val="0D5975D7"/>
    <w:rsid w:val="0DCB1067"/>
    <w:rsid w:val="0DF50570"/>
    <w:rsid w:val="0E35096D"/>
    <w:rsid w:val="0ED95A79"/>
    <w:rsid w:val="0F7A0D2D"/>
    <w:rsid w:val="0FC725BC"/>
    <w:rsid w:val="108C5E19"/>
    <w:rsid w:val="11046FAA"/>
    <w:rsid w:val="11347978"/>
    <w:rsid w:val="115D09A3"/>
    <w:rsid w:val="11665A0D"/>
    <w:rsid w:val="118C6E64"/>
    <w:rsid w:val="11966CF2"/>
    <w:rsid w:val="12A17992"/>
    <w:rsid w:val="131E4D3F"/>
    <w:rsid w:val="135A5143"/>
    <w:rsid w:val="147C10A3"/>
    <w:rsid w:val="14826374"/>
    <w:rsid w:val="15007F26"/>
    <w:rsid w:val="15497A9C"/>
    <w:rsid w:val="156F54C4"/>
    <w:rsid w:val="15DE18EA"/>
    <w:rsid w:val="168626AD"/>
    <w:rsid w:val="16895AB9"/>
    <w:rsid w:val="18055854"/>
    <w:rsid w:val="18191217"/>
    <w:rsid w:val="18A8690B"/>
    <w:rsid w:val="18E457B0"/>
    <w:rsid w:val="19134222"/>
    <w:rsid w:val="1AF02302"/>
    <w:rsid w:val="1B386A96"/>
    <w:rsid w:val="1B392D5D"/>
    <w:rsid w:val="1BEC0C45"/>
    <w:rsid w:val="1C913B5A"/>
    <w:rsid w:val="1CA4388D"/>
    <w:rsid w:val="1CA70C88"/>
    <w:rsid w:val="1CA76EDA"/>
    <w:rsid w:val="1E180859"/>
    <w:rsid w:val="1F843502"/>
    <w:rsid w:val="1FC30C5F"/>
    <w:rsid w:val="205E1FA5"/>
    <w:rsid w:val="213650EE"/>
    <w:rsid w:val="21B05F66"/>
    <w:rsid w:val="22816DD4"/>
    <w:rsid w:val="229B5A9D"/>
    <w:rsid w:val="22C5630B"/>
    <w:rsid w:val="22DD3687"/>
    <w:rsid w:val="23E32EED"/>
    <w:rsid w:val="241430A6"/>
    <w:rsid w:val="2446522A"/>
    <w:rsid w:val="24C44489"/>
    <w:rsid w:val="24E24F53"/>
    <w:rsid w:val="254C061E"/>
    <w:rsid w:val="25A95A70"/>
    <w:rsid w:val="25EA65C5"/>
    <w:rsid w:val="26795443"/>
    <w:rsid w:val="27127645"/>
    <w:rsid w:val="277E087D"/>
    <w:rsid w:val="27942595"/>
    <w:rsid w:val="27A424F9"/>
    <w:rsid w:val="27C006D6"/>
    <w:rsid w:val="281C21E5"/>
    <w:rsid w:val="289B1FE8"/>
    <w:rsid w:val="28E32DD6"/>
    <w:rsid w:val="2961005D"/>
    <w:rsid w:val="296F3B6B"/>
    <w:rsid w:val="297156CE"/>
    <w:rsid w:val="2A0B2085"/>
    <w:rsid w:val="2A2E2822"/>
    <w:rsid w:val="2A420242"/>
    <w:rsid w:val="2A461C9A"/>
    <w:rsid w:val="2AAA4765"/>
    <w:rsid w:val="2ACE64ED"/>
    <w:rsid w:val="2B161BD2"/>
    <w:rsid w:val="2BDD46C6"/>
    <w:rsid w:val="2C917C8D"/>
    <w:rsid w:val="2CFE2B46"/>
    <w:rsid w:val="2D5B7F98"/>
    <w:rsid w:val="2F432A92"/>
    <w:rsid w:val="2F603644"/>
    <w:rsid w:val="2FE51A7E"/>
    <w:rsid w:val="300F0B53"/>
    <w:rsid w:val="30232B72"/>
    <w:rsid w:val="302C0E04"/>
    <w:rsid w:val="30630906"/>
    <w:rsid w:val="31662A68"/>
    <w:rsid w:val="31796C3F"/>
    <w:rsid w:val="33136C1F"/>
    <w:rsid w:val="331A4F9D"/>
    <w:rsid w:val="33244CEB"/>
    <w:rsid w:val="33F7209D"/>
    <w:rsid w:val="34476B80"/>
    <w:rsid w:val="34600B6B"/>
    <w:rsid w:val="349123E4"/>
    <w:rsid w:val="349D49F2"/>
    <w:rsid w:val="34D00F8D"/>
    <w:rsid w:val="353C7C78"/>
    <w:rsid w:val="35F03ECC"/>
    <w:rsid w:val="35FB38A7"/>
    <w:rsid w:val="364D069A"/>
    <w:rsid w:val="36B56A4E"/>
    <w:rsid w:val="37D67D49"/>
    <w:rsid w:val="38FC1999"/>
    <w:rsid w:val="39201BF6"/>
    <w:rsid w:val="3A3424C6"/>
    <w:rsid w:val="3A8327B1"/>
    <w:rsid w:val="3B31158F"/>
    <w:rsid w:val="3B63147D"/>
    <w:rsid w:val="3CF63839"/>
    <w:rsid w:val="3D3A48DF"/>
    <w:rsid w:val="3D474095"/>
    <w:rsid w:val="3E263CAA"/>
    <w:rsid w:val="3E495F9C"/>
    <w:rsid w:val="3E98505E"/>
    <w:rsid w:val="401F09B1"/>
    <w:rsid w:val="40731237"/>
    <w:rsid w:val="407C4056"/>
    <w:rsid w:val="41384420"/>
    <w:rsid w:val="418706E5"/>
    <w:rsid w:val="42240AD1"/>
    <w:rsid w:val="43252782"/>
    <w:rsid w:val="43395744"/>
    <w:rsid w:val="440B5E1C"/>
    <w:rsid w:val="45F20916"/>
    <w:rsid w:val="46725FFF"/>
    <w:rsid w:val="4729393A"/>
    <w:rsid w:val="474A7FB7"/>
    <w:rsid w:val="47AA7B8D"/>
    <w:rsid w:val="488B752C"/>
    <w:rsid w:val="48927E03"/>
    <w:rsid w:val="489D2DBB"/>
    <w:rsid w:val="48D34A2F"/>
    <w:rsid w:val="4B2D2D60"/>
    <w:rsid w:val="4B3A6FE7"/>
    <w:rsid w:val="4B986BFD"/>
    <w:rsid w:val="4BF47196"/>
    <w:rsid w:val="4C26297D"/>
    <w:rsid w:val="4D337FD9"/>
    <w:rsid w:val="4D616AAD"/>
    <w:rsid w:val="4D6C0FAE"/>
    <w:rsid w:val="4D97427D"/>
    <w:rsid w:val="4EAB125A"/>
    <w:rsid w:val="4EC7615B"/>
    <w:rsid w:val="4ECF626C"/>
    <w:rsid w:val="4F1D6C0D"/>
    <w:rsid w:val="4FD81DA3"/>
    <w:rsid w:val="50095BEE"/>
    <w:rsid w:val="502C6C27"/>
    <w:rsid w:val="50986D6E"/>
    <w:rsid w:val="50AF0A90"/>
    <w:rsid w:val="50D102FE"/>
    <w:rsid w:val="51A660DF"/>
    <w:rsid w:val="52461A3F"/>
    <w:rsid w:val="52F537F4"/>
    <w:rsid w:val="537A08C9"/>
    <w:rsid w:val="539D45B7"/>
    <w:rsid w:val="578A6C00"/>
    <w:rsid w:val="57996E43"/>
    <w:rsid w:val="57B95737"/>
    <w:rsid w:val="57C60F35"/>
    <w:rsid w:val="584B6D42"/>
    <w:rsid w:val="58D2309A"/>
    <w:rsid w:val="59594ADC"/>
    <w:rsid w:val="5B351579"/>
    <w:rsid w:val="5B6F14AD"/>
    <w:rsid w:val="5CB439ED"/>
    <w:rsid w:val="5D355860"/>
    <w:rsid w:val="5D4B6E32"/>
    <w:rsid w:val="5DBF4C2C"/>
    <w:rsid w:val="5E5C1356"/>
    <w:rsid w:val="5EE412EC"/>
    <w:rsid w:val="5F2711D9"/>
    <w:rsid w:val="5FBE3F60"/>
    <w:rsid w:val="5FD22281"/>
    <w:rsid w:val="607602AB"/>
    <w:rsid w:val="62175534"/>
    <w:rsid w:val="63B514A9"/>
    <w:rsid w:val="6448402A"/>
    <w:rsid w:val="645D1674"/>
    <w:rsid w:val="64E56540"/>
    <w:rsid w:val="64E738E4"/>
    <w:rsid w:val="6501305D"/>
    <w:rsid w:val="65193B56"/>
    <w:rsid w:val="664F7993"/>
    <w:rsid w:val="66FB5425"/>
    <w:rsid w:val="673E47B8"/>
    <w:rsid w:val="678E0047"/>
    <w:rsid w:val="68EC6B11"/>
    <w:rsid w:val="68F55EA4"/>
    <w:rsid w:val="692E00ED"/>
    <w:rsid w:val="6A2B3A50"/>
    <w:rsid w:val="6A837C0B"/>
    <w:rsid w:val="6A9B2111"/>
    <w:rsid w:val="6AD40467"/>
    <w:rsid w:val="6B07083C"/>
    <w:rsid w:val="6C4D6722"/>
    <w:rsid w:val="6DD23944"/>
    <w:rsid w:val="6E891F6F"/>
    <w:rsid w:val="6EEE6840"/>
    <w:rsid w:val="6F4C641B"/>
    <w:rsid w:val="7143565C"/>
    <w:rsid w:val="71775FF0"/>
    <w:rsid w:val="71AC3EEB"/>
    <w:rsid w:val="726C367A"/>
    <w:rsid w:val="73012015"/>
    <w:rsid w:val="738A200A"/>
    <w:rsid w:val="73CB466F"/>
    <w:rsid w:val="741D09B5"/>
    <w:rsid w:val="74432BA3"/>
    <w:rsid w:val="748D76BD"/>
    <w:rsid w:val="75427231"/>
    <w:rsid w:val="760E4FCA"/>
    <w:rsid w:val="766E6129"/>
    <w:rsid w:val="76C577FD"/>
    <w:rsid w:val="76E91A6B"/>
    <w:rsid w:val="76F46237"/>
    <w:rsid w:val="770805CF"/>
    <w:rsid w:val="774E23F5"/>
    <w:rsid w:val="775F045E"/>
    <w:rsid w:val="77DA7275"/>
    <w:rsid w:val="77E609E2"/>
    <w:rsid w:val="780D6D66"/>
    <w:rsid w:val="78434E7D"/>
    <w:rsid w:val="78B92D7C"/>
    <w:rsid w:val="7A37456E"/>
    <w:rsid w:val="7A5746B8"/>
    <w:rsid w:val="7A590988"/>
    <w:rsid w:val="7A792DD8"/>
    <w:rsid w:val="7B695EF6"/>
    <w:rsid w:val="7BDF0A19"/>
    <w:rsid w:val="7C246D74"/>
    <w:rsid w:val="7D9730DF"/>
    <w:rsid w:val="7F3E639F"/>
    <w:rsid w:val="7FA9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E0CF5DF"/>
  <w15:docId w15:val="{A68FC385-AECF-4B00-AFAA-ACFE62D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unhideWhenUsed/>
    <w:qFormat/>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4">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qFormat/>
    <w:pPr>
      <w:ind w:left="198"/>
    </w:pPr>
    <w:rPr>
      <w:rFonts w:ascii="宋体" w:hAnsi="Times New Roman"/>
      <w:sz w:val="18"/>
    </w:rPr>
  </w:style>
  <w:style w:type="paragraph" w:customStyle="1" w:styleId="afffff7">
    <w:name w:val="标准文件_页脚奇数页"/>
    <w:qFormat/>
    <w:pPr>
      <w:ind w:right="227"/>
      <w:jc w:val="right"/>
    </w:pPr>
    <w:rPr>
      <w:rFonts w:ascii="宋体" w:hAnsi="Times New Roman"/>
      <w:sz w:val="18"/>
    </w:rPr>
  </w:style>
  <w:style w:type="paragraph" w:customStyle="1" w:styleId="afffff8">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hAnsi="Times New Roman"/>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a"/>
    <w:qFormat/>
    <w:pPr>
      <w:numPr>
        <w:ilvl w:val="2"/>
      </w:numPr>
      <w:spacing w:beforeLines="50" w:before="50" w:afterLines="50" w:after="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a"/>
    <w:qFormat/>
    <w:pPr>
      <w:numPr>
        <w:numId w:val="18"/>
      </w:numPr>
      <w:jc w:val="center"/>
    </w:pPr>
    <w:rPr>
      <w:rFonts w:ascii="黑体" w:eastAsia="黑体" w:hAnsi="Times New Roman"/>
      <w:sz w:val="21"/>
    </w:rPr>
  </w:style>
  <w:style w:type="paragraph" w:customStyle="1" w:styleId="afb">
    <w:name w:val="标准文件_正文英文图标题"/>
    <w:next w:val="afffffa"/>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qFormat/>
    <w:pPr>
      <w:spacing w:before="180" w:line="180" w:lineRule="exact"/>
      <w:jc w:val="center"/>
    </w:pPr>
    <w:rPr>
      <w:rFonts w:ascii="宋体" w:hAnsi="Times New Roman"/>
      <w:sz w:val="21"/>
    </w:rPr>
  </w:style>
  <w:style w:type="paragraph" w:customStyle="1" w:styleId="afffffffc">
    <w:name w:val="封面标准文稿类别"/>
    <w:qFormat/>
    <w:pPr>
      <w:spacing w:before="440" w:line="400" w:lineRule="exact"/>
      <w:jc w:val="center"/>
    </w:pPr>
    <w:rPr>
      <w:rFonts w:ascii="宋体" w:hAnsi="Times New Roman"/>
      <w:sz w:val="24"/>
    </w:rPr>
  </w:style>
  <w:style w:type="paragraph" w:customStyle="1" w:styleId="afffffffd">
    <w:name w:val="封面标准英文名称"/>
    <w:qFormat/>
    <w:pPr>
      <w:widowControl w:val="0"/>
      <w:spacing w:line="360" w:lineRule="exact"/>
      <w:jc w:val="center"/>
    </w:pPr>
    <w:rPr>
      <w:rFonts w:ascii="Times New Roman" w:hAnsi="Times New Roman"/>
      <w:sz w:val="28"/>
    </w:rPr>
  </w:style>
  <w:style w:type="paragraph" w:customStyle="1" w:styleId="afffffffe">
    <w:name w:val="封面一致性程度标识"/>
    <w:qFormat/>
    <w:pPr>
      <w:spacing w:before="440" w:line="440" w:lineRule="exact"/>
      <w:jc w:val="center"/>
    </w:pPr>
    <w:rPr>
      <w:rFonts w:ascii="Times New Roman" w:hAnsi="Times New Roman"/>
      <w:sz w:val="28"/>
    </w:rPr>
  </w:style>
  <w:style w:type="paragraph" w:customStyle="1" w:styleId="affffffff">
    <w:name w:val="封面正文"/>
    <w:qFormat/>
    <w:pPr>
      <w:jc w:val="both"/>
    </w:pPr>
    <w:rPr>
      <w:rFonts w:ascii="Times New Roman" w:hAnsi="Times New Roman"/>
    </w:r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
    <w:qFormat/>
    <w:pPr>
      <w:widowControl w:val="0"/>
      <w:numPr>
        <w:numId w:val="28"/>
      </w:numPr>
      <w:jc w:val="both"/>
    </w:pPr>
    <w:rPr>
      <w:rFonts w:ascii="宋体" w:hAnsi="Times New Roman"/>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paragraph" w:customStyle="1" w:styleId="affffffffffff">
    <w:name w:val="段"/>
    <w:basedOn w:val="afff5"/>
    <w:link w:val="affffffffffff0"/>
    <w:qFormat/>
    <w:pPr>
      <w:spacing w:line="240" w:lineRule="auto"/>
      <w:ind w:firstLineChars="200" w:firstLine="420"/>
    </w:pPr>
    <w:rPr>
      <w:rFonts w:ascii="Times New Roman" w:hAnsi="Times New Roman" w:cs="Calibri"/>
    </w:rPr>
  </w:style>
  <w:style w:type="character" w:customStyle="1" w:styleId="affffffffffff0">
    <w:name w:val="段 字符"/>
    <w:basedOn w:val="afff6"/>
    <w:link w:val="affffffffffff"/>
    <w:qFormat/>
    <w:rPr>
      <w:rFonts w:ascii="Times New Roman" w:hAnsi="Times New Roman" w:cs="Calibri"/>
      <w:kern w:val="2"/>
      <w:sz w:val="21"/>
      <w:szCs w:val="21"/>
    </w:rPr>
  </w:style>
  <w:style w:type="paragraph" w:customStyle="1" w:styleId="12">
    <w:name w:val="修订1"/>
    <w:hidden/>
    <w:uiPriority w:val="99"/>
    <w:semiHidden/>
    <w:qFormat/>
    <w:rPr>
      <w:kern w:val="2"/>
      <w:sz w:val="21"/>
      <w:szCs w:val="21"/>
    </w:rPr>
  </w:style>
  <w:style w:type="character" w:customStyle="1" w:styleId="afffb">
    <w:name w:val="批注文字 字符"/>
    <w:basedOn w:val="afff6"/>
    <w:link w:val="afffa"/>
    <w:uiPriority w:val="99"/>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character" w:customStyle="1" w:styleId="Char0">
    <w:name w:val="批注文字 Char"/>
    <w:basedOn w:val="afff6"/>
    <w:uiPriority w:val="99"/>
    <w:semiHidden/>
    <w:qFormat/>
    <w:rPr>
      <w:kern w:val="2"/>
      <w:sz w:val="21"/>
      <w:szCs w:val="21"/>
    </w:rPr>
  </w:style>
  <w:style w:type="paragraph" w:styleId="affffffffffff1">
    <w:name w:val="List Paragraph"/>
    <w:basedOn w:val="afff5"/>
    <w:uiPriority w:val="34"/>
    <w:qFormat/>
    <w:pPr>
      <w:ind w:firstLineChars="200" w:firstLine="420"/>
    </w:p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A6A7C7E044B769DF5DD033C66DD3E"/>
        <w:category>
          <w:name w:val="常规"/>
          <w:gallery w:val="placeholder"/>
        </w:category>
        <w:types>
          <w:type w:val="bbPlcHdr"/>
        </w:types>
        <w:behaviors>
          <w:behavior w:val="content"/>
        </w:behaviors>
        <w:guid w:val="{03DE925C-8D76-4A0D-BD7B-49722B0E6E11}"/>
      </w:docPartPr>
      <w:docPartBody>
        <w:p w:rsidR="00857D94" w:rsidRDefault="00000000">
          <w:pPr>
            <w:pStyle w:val="9A8A6A7C7E044B769DF5DD033C66DD3E"/>
          </w:pPr>
          <w:r>
            <w:rPr>
              <w:rStyle w:val="a3"/>
              <w:rFonts w:hint="eastAsia"/>
            </w:rPr>
            <w:t>单击或点击此处输入文字。</w:t>
          </w:r>
        </w:p>
      </w:docPartBody>
    </w:docPart>
    <w:docPart>
      <w:docPartPr>
        <w:name w:val="EFA7950F216D4DFF8C3454823B9F24F9"/>
        <w:category>
          <w:name w:val="常规"/>
          <w:gallery w:val="placeholder"/>
        </w:category>
        <w:types>
          <w:type w:val="bbPlcHdr"/>
        </w:types>
        <w:behaviors>
          <w:behavior w:val="content"/>
        </w:behaviors>
        <w:guid w:val="{0023F7F9-42CE-4078-8E91-075555EB07B2}"/>
      </w:docPartPr>
      <w:docPartBody>
        <w:p w:rsidR="00857D94" w:rsidRDefault="00000000">
          <w:pPr>
            <w:pStyle w:val="EFA7950F216D4DFF8C3454823B9F24F9"/>
          </w:pPr>
          <w:r>
            <w:rPr>
              <w:rStyle w:val="a3"/>
              <w:rFonts w:hint="eastAsia"/>
            </w:rPr>
            <w:t>选择一项。</w:t>
          </w:r>
        </w:p>
      </w:docPartBody>
    </w:docPart>
    <w:docPart>
      <w:docPartPr>
        <w:name w:val="32394A53A28749C59EADAC5A1C4EE9A3"/>
        <w:category>
          <w:name w:val="常规"/>
          <w:gallery w:val="placeholder"/>
        </w:category>
        <w:types>
          <w:type w:val="bbPlcHdr"/>
        </w:types>
        <w:behaviors>
          <w:behavior w:val="content"/>
        </w:behaviors>
        <w:guid w:val="{8E2AF9CB-12F5-4FE6-8FA4-850BED0661C0}"/>
      </w:docPartPr>
      <w:docPartBody>
        <w:p w:rsidR="00857D94" w:rsidRDefault="00000000">
          <w:pPr>
            <w:pStyle w:val="32394A53A28749C59EADAC5A1C4EE9A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B99"/>
    <w:rsid w:val="00007404"/>
    <w:rsid w:val="00052489"/>
    <w:rsid w:val="000D5096"/>
    <w:rsid w:val="00130740"/>
    <w:rsid w:val="001410D4"/>
    <w:rsid w:val="001E4DA0"/>
    <w:rsid w:val="002205A5"/>
    <w:rsid w:val="00252389"/>
    <w:rsid w:val="002B5A96"/>
    <w:rsid w:val="00384030"/>
    <w:rsid w:val="00444607"/>
    <w:rsid w:val="004C7B99"/>
    <w:rsid w:val="005329F2"/>
    <w:rsid w:val="00653027"/>
    <w:rsid w:val="006919C3"/>
    <w:rsid w:val="006B5C6A"/>
    <w:rsid w:val="00736631"/>
    <w:rsid w:val="00780DAB"/>
    <w:rsid w:val="007C73F0"/>
    <w:rsid w:val="007D3612"/>
    <w:rsid w:val="00857D94"/>
    <w:rsid w:val="00910B0A"/>
    <w:rsid w:val="009115E1"/>
    <w:rsid w:val="00967B4E"/>
    <w:rsid w:val="009C5884"/>
    <w:rsid w:val="009E5B1B"/>
    <w:rsid w:val="00A5385E"/>
    <w:rsid w:val="00A762C3"/>
    <w:rsid w:val="00B317E8"/>
    <w:rsid w:val="00B50ABE"/>
    <w:rsid w:val="00B51F26"/>
    <w:rsid w:val="00BB4EF6"/>
    <w:rsid w:val="00C92A31"/>
    <w:rsid w:val="00C93B2C"/>
    <w:rsid w:val="00D01A6B"/>
    <w:rsid w:val="00D77748"/>
    <w:rsid w:val="00ED5D96"/>
    <w:rsid w:val="00F07791"/>
    <w:rsid w:val="00F532C6"/>
    <w:rsid w:val="00F5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A8A6A7C7E044B769DF5DD033C66DD3E">
    <w:name w:val="9A8A6A7C7E044B769DF5DD033C66DD3E"/>
    <w:qFormat/>
    <w:pPr>
      <w:widowControl w:val="0"/>
      <w:jc w:val="both"/>
    </w:pPr>
    <w:rPr>
      <w:kern w:val="2"/>
      <w:sz w:val="21"/>
      <w:szCs w:val="22"/>
    </w:rPr>
  </w:style>
  <w:style w:type="paragraph" w:customStyle="1" w:styleId="EFA7950F216D4DFF8C3454823B9F24F9">
    <w:name w:val="EFA7950F216D4DFF8C3454823B9F24F9"/>
    <w:qFormat/>
    <w:pPr>
      <w:widowControl w:val="0"/>
      <w:jc w:val="both"/>
    </w:pPr>
    <w:rPr>
      <w:kern w:val="2"/>
      <w:sz w:val="21"/>
      <w:szCs w:val="22"/>
    </w:rPr>
  </w:style>
  <w:style w:type="paragraph" w:customStyle="1" w:styleId="32394A53A28749C59EADAC5A1C4EE9A3">
    <w:name w:val="32394A53A28749C59EADAC5A1C4EE9A3"/>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818BFA7-DBDB-40AC-B81C-5AEAAB9F40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6</TotalTime>
  <Pages>10</Pages>
  <Words>1085</Words>
  <Characters>6189</Characters>
  <Application>Microsoft Office Word</Application>
  <DocSecurity>0</DocSecurity>
  <Lines>51</Lines>
  <Paragraphs>14</Paragraphs>
  <ScaleCrop>false</ScaleCrop>
  <Company>PCMI</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dc:creator>
  <dc:description>&lt;config cover="true" show_menu="true" version="1.0.0" doctype="SDKXY"&gt;_x000d_
&lt;/config&gt;</dc:description>
  <cp:lastModifiedBy>wanchunok@sina.com</cp:lastModifiedBy>
  <cp:revision>131</cp:revision>
  <cp:lastPrinted>2021-02-02T08:22:00Z</cp:lastPrinted>
  <dcterms:created xsi:type="dcterms:W3CDTF">2021-08-20T09:44:00Z</dcterms:created>
  <dcterms:modified xsi:type="dcterms:W3CDTF">2023-05-24T12:44:00Z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254BA766C9EC4DE8BE001E86377D96B7</vt:lpwstr>
  </property>
</Properties>
</file>